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6EEE1">
      <w:pPr>
        <w:spacing w:line="400" w:lineRule="exact"/>
        <w:ind w:firstLine="600"/>
        <w:jc w:val="center"/>
        <w:rPr>
          <w:rFonts w:hint="eastAsia" w:ascii="Cambria" w:hAnsi="Cambria" w:eastAsia="黑体"/>
          <w:bCs/>
          <w:sz w:val="30"/>
          <w:szCs w:val="32"/>
        </w:rPr>
      </w:pPr>
      <w:r>
        <w:rPr>
          <w:rFonts w:hint="eastAsia" w:ascii="Cambria" w:hAnsi="Cambria" w:eastAsia="黑体"/>
          <w:bCs/>
          <w:sz w:val="30"/>
          <w:szCs w:val="32"/>
          <w:lang w:eastAsia="zh-CN"/>
        </w:rPr>
        <w:t>江阴市经济云平台一期项目（含统计专题）</w:t>
      </w:r>
      <w:r>
        <w:rPr>
          <w:rFonts w:hint="eastAsia" w:ascii="Cambria" w:hAnsi="Cambria" w:eastAsia="黑体"/>
          <w:bCs/>
          <w:sz w:val="30"/>
          <w:szCs w:val="32"/>
        </w:rPr>
        <w:t>采购需求</w:t>
      </w:r>
    </w:p>
    <w:p w14:paraId="1C4801CB">
      <w:pPr>
        <w:spacing w:line="400" w:lineRule="exact"/>
        <w:ind w:firstLine="482"/>
        <w:jc w:val="center"/>
        <w:rPr>
          <w:rFonts w:ascii="宋体" w:hAnsi="宋体" w:cs="宋体"/>
          <w:b/>
          <w:bCs/>
          <w:lang w:val="zh-CN"/>
        </w:rPr>
      </w:pPr>
      <w:r>
        <w:rPr>
          <w:rFonts w:hint="eastAsia" w:ascii="宋体" w:hAnsi="宋体" w:cs="宋体"/>
          <w:b/>
          <w:bCs/>
          <w:lang w:val="zh-CN"/>
        </w:rPr>
        <w:t>（以下均为实质性要求</w:t>
      </w:r>
      <w:bookmarkStart w:id="0" w:name="_Toc224205056"/>
      <w:bookmarkStart w:id="1" w:name="_Toc224463056"/>
      <w:r>
        <w:rPr>
          <w:rFonts w:hint="eastAsia" w:ascii="宋体" w:hAnsi="宋体" w:cs="宋体"/>
          <w:b/>
          <w:bCs/>
          <w:lang w:val="zh-CN"/>
        </w:rPr>
        <w:t>）</w:t>
      </w:r>
      <w:bookmarkEnd w:id="0"/>
      <w:bookmarkEnd w:id="1"/>
    </w:p>
    <w:p w14:paraId="5B94E391">
      <w:pPr>
        <w:spacing w:line="400" w:lineRule="exact"/>
        <w:ind w:firstLine="480"/>
        <w:jc w:val="center"/>
      </w:pPr>
    </w:p>
    <w:p w14:paraId="706B9043">
      <w:pPr>
        <w:pStyle w:val="3"/>
        <w:numPr>
          <w:ilvl w:val="0"/>
          <w:numId w:val="0"/>
        </w:numPr>
        <w:spacing w:line="400" w:lineRule="exact"/>
        <w:rPr>
          <w:rFonts w:ascii="黑体" w:hAnsi="黑体" w:eastAsia="黑体" w:cs="黑体"/>
          <w:b w:val="0"/>
          <w:sz w:val="28"/>
          <w:szCs w:val="28"/>
        </w:rPr>
      </w:pPr>
      <w:r>
        <w:rPr>
          <w:rFonts w:hint="eastAsia" w:ascii="黑体" w:hAnsi="黑体" w:eastAsia="黑体"/>
          <w:b w:val="0"/>
          <w:bCs w:val="0"/>
          <w:kern w:val="2"/>
          <w:sz w:val="28"/>
          <w:szCs w:val="28"/>
        </w:rPr>
        <w:t>一、</w:t>
      </w:r>
      <w:r>
        <w:rPr>
          <w:rFonts w:hint="eastAsia" w:ascii="黑体" w:hAnsi="黑体" w:eastAsia="黑体" w:cs="黑体"/>
          <w:b w:val="0"/>
          <w:sz w:val="28"/>
          <w:szCs w:val="28"/>
        </w:rPr>
        <w:t>项目概述</w:t>
      </w:r>
    </w:p>
    <w:p w14:paraId="7B3F107B">
      <w:pPr>
        <w:pStyle w:val="2"/>
        <w:spacing w:line="400" w:lineRule="exact"/>
        <w:rPr>
          <w:rFonts w:cs="黑体" w:asciiTheme="minorEastAsia" w:hAnsiTheme="minorEastAsia" w:eastAsiaTheme="minorEastAsia"/>
          <w:sz w:val="24"/>
          <w:szCs w:val="24"/>
        </w:rPr>
      </w:pPr>
      <w:r>
        <w:rPr>
          <w:rFonts w:hint="eastAsia" w:cs="黑体" w:asciiTheme="minorEastAsia" w:hAnsiTheme="minorEastAsia" w:eastAsiaTheme="minorEastAsia"/>
          <w:sz w:val="24"/>
          <w:szCs w:val="24"/>
          <w:lang w:val="en-US" w:eastAsia="zh-CN"/>
        </w:rPr>
        <w:t xml:space="preserve"> </w:t>
      </w:r>
      <w:r>
        <w:rPr>
          <w:rFonts w:hint="eastAsia" w:cs="黑体" w:asciiTheme="minorEastAsia" w:hAnsiTheme="minorEastAsia" w:eastAsiaTheme="minorEastAsia"/>
          <w:sz w:val="24"/>
          <w:szCs w:val="24"/>
        </w:rPr>
        <w:t>建设目标</w:t>
      </w:r>
    </w:p>
    <w:p w14:paraId="047D74A4">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4"/>
        </w:rPr>
      </w:pPr>
      <w:r>
        <w:rPr>
          <w:rFonts w:hint="eastAsia" w:cs="Times New Roman" w:asciiTheme="minorEastAsia" w:hAnsiTheme="minorEastAsia" w:eastAsiaTheme="minorEastAsia"/>
          <w:kern w:val="2"/>
          <w:sz w:val="24"/>
          <w:szCs w:val="24"/>
          <w:lang w:val="en-US" w:eastAsia="zh-CN" w:bidi="ar-SA"/>
        </w:rPr>
        <w:t>本项目以数字化改革为引领，聚焦区域经济治理能力现代化与高质量发展需求，构建集企业信息全周期管理、经济运行动态监测、项目全流程管控、数据资源治理及安全防护于一体的综合性平台。通过统一技术架构、打通部门数据壁垒、优化经济管理流程、强化智能分析应用，解决经济数据分散化、监测分析滞后化、项目管理碎片化等问题。建立覆盖经济指标智能分析、企业全景画像绘制、项目风险监测预警的数据驱动型治理体系，推动经济治理从“经验判断”向“数据驱动”转型，形成“用数据管理、用数据决策、用数据创新”的现代化治理模式，为区域产业转型升级、经济协同发展及治理体系创新提供数字化支撑，助力打造现代化经济治理标杆。</w:t>
      </w:r>
    </w:p>
    <w:p w14:paraId="7888084D">
      <w:pPr>
        <w:pStyle w:val="2"/>
        <w:spacing w:line="400" w:lineRule="exact"/>
        <w:rPr>
          <w:rFonts w:cs="黑体" w:asciiTheme="minorEastAsia" w:hAnsiTheme="minorEastAsia" w:eastAsiaTheme="minorEastAsia"/>
          <w:sz w:val="24"/>
          <w:szCs w:val="24"/>
        </w:rPr>
      </w:pPr>
      <w:r>
        <w:rPr>
          <w:rFonts w:hint="eastAsia" w:cs="黑体" w:asciiTheme="minorEastAsia" w:hAnsiTheme="minorEastAsia" w:eastAsiaTheme="minorEastAsia"/>
          <w:sz w:val="24"/>
          <w:szCs w:val="24"/>
          <w:lang w:val="en-US" w:eastAsia="zh-CN"/>
        </w:rPr>
        <w:t xml:space="preserve"> </w:t>
      </w:r>
      <w:r>
        <w:rPr>
          <w:rFonts w:hint="eastAsia" w:cs="黑体" w:asciiTheme="minorEastAsia" w:hAnsiTheme="minorEastAsia" w:eastAsiaTheme="minorEastAsia"/>
          <w:sz w:val="24"/>
          <w:szCs w:val="24"/>
        </w:rPr>
        <w:t>建设需求</w:t>
      </w:r>
    </w:p>
    <w:p w14:paraId="38F3867F">
      <w:pPr>
        <w:pStyle w:val="4"/>
        <w:spacing w:line="400" w:lineRule="exact"/>
        <w:rPr>
          <w:rFonts w:cs="黑体" w:asciiTheme="minorEastAsia" w:hAnsiTheme="minorEastAsia" w:eastAsiaTheme="minorEastAsia"/>
          <w:sz w:val="24"/>
          <w:szCs w:val="24"/>
        </w:rPr>
      </w:pPr>
      <w:r>
        <w:rPr>
          <w:rFonts w:hint="eastAsia" w:cs="黑体" w:asciiTheme="minorEastAsia" w:hAnsiTheme="minorEastAsia" w:eastAsiaTheme="minorEastAsia"/>
          <w:sz w:val="24"/>
          <w:szCs w:val="24"/>
          <w:lang w:val="en-US" w:eastAsia="zh-CN"/>
        </w:rPr>
        <w:t>企业服务需求</w:t>
      </w:r>
    </w:p>
    <w:p w14:paraId="77A6973B">
      <w:pPr>
        <w:spacing w:line="400" w:lineRule="exact"/>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整合企业工商、经营、风险等全维度数据，构建“一企一档”数字档案。支持江阴本地企业的多元检索、对比、分析和预警，助力政府精准服务企业、评估产业竞争力，优化产业布局。</w:t>
      </w:r>
    </w:p>
    <w:p w14:paraId="56D62E2D">
      <w:pPr>
        <w:pStyle w:val="4"/>
        <w:spacing w:line="400" w:lineRule="exact"/>
        <w:rPr>
          <w:rFonts w:cs="黑体" w:asciiTheme="minorEastAsia" w:hAnsiTheme="minorEastAsia" w:eastAsiaTheme="minorEastAsia"/>
          <w:sz w:val="24"/>
          <w:szCs w:val="24"/>
        </w:rPr>
      </w:pPr>
      <w:r>
        <w:rPr>
          <w:rFonts w:hint="eastAsia" w:cs="黑体" w:asciiTheme="minorEastAsia" w:hAnsiTheme="minorEastAsia" w:eastAsiaTheme="minorEastAsia"/>
          <w:sz w:val="24"/>
          <w:szCs w:val="24"/>
          <w:lang w:val="en-US" w:eastAsia="zh-CN"/>
        </w:rPr>
        <w:t>经济运行分析</w:t>
      </w:r>
      <w:r>
        <w:rPr>
          <w:rFonts w:hint="eastAsia" w:cs="黑体" w:asciiTheme="minorEastAsia" w:hAnsiTheme="minorEastAsia" w:eastAsiaTheme="minorEastAsia"/>
          <w:sz w:val="24"/>
          <w:szCs w:val="24"/>
        </w:rPr>
        <w:t>需求</w:t>
      </w:r>
    </w:p>
    <w:p w14:paraId="71021B97">
      <w:pPr>
        <w:spacing w:line="400" w:lineRule="exact"/>
        <w:ind w:firstLine="480"/>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以宏观经济监测为核心，集成关键经济指标，实现经济态势动态监测；依托区域画像、项目画像、产业画像等，深入分析经济结构；通过将抽象数据转化为直观决策依据，进而助力政府部门在经济政策等方面的决策分析。</w:t>
      </w:r>
    </w:p>
    <w:p w14:paraId="4535F27A">
      <w:pPr>
        <w:pStyle w:val="4"/>
        <w:spacing w:line="400" w:lineRule="exact"/>
        <w:rPr>
          <w:rFonts w:cs="黑体" w:asciiTheme="minorEastAsia" w:hAnsiTheme="minorEastAsia" w:eastAsiaTheme="minorEastAsia"/>
          <w:sz w:val="24"/>
          <w:szCs w:val="24"/>
        </w:rPr>
      </w:pPr>
      <w:r>
        <w:rPr>
          <w:rFonts w:hint="eastAsia" w:cs="黑体" w:asciiTheme="minorEastAsia" w:hAnsiTheme="minorEastAsia" w:eastAsiaTheme="minorEastAsia"/>
          <w:sz w:val="24"/>
          <w:szCs w:val="24"/>
          <w:lang w:val="en-US" w:eastAsia="zh-CN"/>
        </w:rPr>
        <w:t>数据归集和治理</w:t>
      </w:r>
      <w:r>
        <w:rPr>
          <w:rFonts w:hint="eastAsia" w:cs="黑体" w:asciiTheme="minorEastAsia" w:hAnsiTheme="minorEastAsia" w:eastAsiaTheme="minorEastAsia"/>
          <w:sz w:val="24"/>
          <w:szCs w:val="24"/>
        </w:rPr>
        <w:t>需求</w:t>
      </w:r>
    </w:p>
    <w:p w14:paraId="191398B5">
      <w:pPr>
        <w:widowControl/>
        <w:ind w:firstLine="480" w:firstLineChars="200"/>
        <w:jc w:val="left"/>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整合发改、工信等多部门及单位的经济相关数据，通过全方位的调研、采集、清洗治理等过程确保数据可用，并形成经济相关专题库，并做好风险方案等安全措施，为后续的经济运行分析等提供坚实的数据基础。</w:t>
      </w:r>
    </w:p>
    <w:p w14:paraId="5BA0317E">
      <w:pPr>
        <w:spacing w:line="400" w:lineRule="exact"/>
        <w:ind w:firstLine="480" w:firstLineChars="0"/>
      </w:pPr>
    </w:p>
    <w:p w14:paraId="1C343980">
      <w:pPr>
        <w:pStyle w:val="3"/>
        <w:numPr>
          <w:ilvl w:val="0"/>
          <w:numId w:val="0"/>
        </w:numPr>
        <w:spacing w:line="400" w:lineRule="exact"/>
        <w:rPr>
          <w:rFonts w:ascii="黑体" w:hAnsi="黑体" w:eastAsia="黑体" w:cs="黑体"/>
          <w:b w:val="0"/>
          <w:sz w:val="28"/>
          <w:szCs w:val="28"/>
        </w:rPr>
      </w:pPr>
      <w:r>
        <w:rPr>
          <w:rFonts w:hint="eastAsia" w:ascii="黑体" w:hAnsi="黑体" w:eastAsia="黑体" w:cs="黑体"/>
          <w:b w:val="0"/>
          <w:sz w:val="28"/>
          <w:szCs w:val="52"/>
        </w:rPr>
        <w:t>二、</w:t>
      </w:r>
      <w:r>
        <w:rPr>
          <w:rFonts w:hint="eastAsia" w:ascii="黑体" w:hAnsi="黑体" w:eastAsia="黑体" w:cs="黑体"/>
          <w:b w:val="0"/>
          <w:sz w:val="28"/>
          <w:szCs w:val="28"/>
        </w:rPr>
        <w:t>建设清单</w:t>
      </w:r>
    </w:p>
    <w:p w14:paraId="2F551400">
      <w:pPr>
        <w:adjustRightInd/>
        <w:snapToGrid/>
        <w:spacing w:line="400" w:lineRule="exact"/>
        <w:ind w:firstLine="480" w:firstLineChars="0"/>
        <w:rPr>
          <w:rFonts w:hint="eastAsia" w:asciiTheme="minorEastAsia" w:hAnsiTheme="minorEastAsia" w:eastAsiaTheme="minorEastAsia"/>
          <w:kern w:val="0"/>
          <w:szCs w:val="24"/>
        </w:rPr>
      </w:pPr>
      <w:r>
        <w:rPr>
          <w:rFonts w:hint="eastAsia" w:asciiTheme="minorEastAsia" w:hAnsiTheme="minorEastAsia" w:eastAsiaTheme="minorEastAsia"/>
          <w:szCs w:val="24"/>
          <w:lang w:eastAsia="zh-CN"/>
        </w:rPr>
        <w:t>本项目采购</w:t>
      </w:r>
      <w:r>
        <w:rPr>
          <w:rFonts w:hint="eastAsia" w:asciiTheme="minorEastAsia" w:hAnsiTheme="minorEastAsia" w:eastAsiaTheme="minorEastAsia"/>
          <w:szCs w:val="24"/>
          <w:lang w:val="en-US" w:eastAsia="zh-CN"/>
        </w:rPr>
        <w:t>清单包括定制化软件开发、数据采购、数据服务三类，具体如下：</w:t>
      </w:r>
    </w:p>
    <w:p w14:paraId="3EA392A2">
      <w:pPr>
        <w:pStyle w:val="2"/>
        <w:numPr>
          <w:ilvl w:val="0"/>
          <w:numId w:val="0"/>
        </w:numPr>
        <w:spacing w:line="400" w:lineRule="exact"/>
        <w:rPr>
          <w:rFonts w:hint="eastAsia" w:cs="黑体" w:asciiTheme="minorEastAsia" w:hAnsiTheme="minorEastAsia" w:eastAsiaTheme="minorEastAsia"/>
          <w:sz w:val="24"/>
          <w:szCs w:val="24"/>
        </w:rPr>
      </w:pPr>
      <w:r>
        <w:rPr>
          <w:rFonts w:hint="eastAsia" w:cs="黑体" w:asciiTheme="minorEastAsia" w:hAnsiTheme="minorEastAsia" w:eastAsiaTheme="minorEastAsia"/>
          <w:sz w:val="24"/>
          <w:szCs w:val="24"/>
          <w:lang w:val="en-US" w:eastAsia="zh-CN"/>
        </w:rPr>
        <w:t xml:space="preserve">2.1 </w:t>
      </w:r>
      <w:r>
        <w:rPr>
          <w:rFonts w:hint="eastAsia" w:cs="黑体" w:asciiTheme="minorEastAsia" w:hAnsiTheme="minorEastAsia" w:eastAsiaTheme="minorEastAsia"/>
          <w:sz w:val="24"/>
          <w:szCs w:val="24"/>
        </w:rPr>
        <w:t>定制化软件清单</w:t>
      </w:r>
    </w:p>
    <w:p w14:paraId="59687739">
      <w:pPr>
        <w:rPr>
          <w:rFonts w:hint="eastAsia" w:cs="黑体" w:asciiTheme="minorEastAsia" w:hAnsiTheme="minorEastAsia" w:eastAsiaTheme="minorEastAsia"/>
          <w:sz w:val="24"/>
          <w:szCs w:val="24"/>
        </w:rPr>
      </w:pPr>
    </w:p>
    <w:p w14:paraId="25053AE8">
      <w:pPr>
        <w:bidi w:val="0"/>
        <w:ind w:left="0" w:leftChars="0" w:firstLine="0" w:firstLineChars="0"/>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1206"/>
        <w:gridCol w:w="5867"/>
        <w:gridCol w:w="483"/>
        <w:gridCol w:w="483"/>
      </w:tblGrid>
      <w:tr w14:paraId="7F21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shd w:val="clear" w:color="auto" w:fill="auto"/>
            <w:vAlign w:val="center"/>
          </w:tcPr>
          <w:p w14:paraId="3C74C56C">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0" w:type="auto"/>
            <w:shd w:val="clear" w:color="auto" w:fill="auto"/>
            <w:vAlign w:val="center"/>
          </w:tcPr>
          <w:p w14:paraId="4869C50B">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名称</w:t>
            </w:r>
          </w:p>
        </w:tc>
        <w:tc>
          <w:tcPr>
            <w:tcW w:w="0" w:type="auto"/>
            <w:shd w:val="clear" w:color="auto" w:fill="auto"/>
            <w:vAlign w:val="center"/>
          </w:tcPr>
          <w:p w14:paraId="7E3408BD">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系统描述</w:t>
            </w:r>
          </w:p>
        </w:tc>
        <w:tc>
          <w:tcPr>
            <w:tcW w:w="0" w:type="auto"/>
            <w:shd w:val="clear" w:color="auto" w:fill="auto"/>
            <w:vAlign w:val="center"/>
          </w:tcPr>
          <w:p w14:paraId="34736DB3">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单位</w:t>
            </w:r>
          </w:p>
        </w:tc>
        <w:tc>
          <w:tcPr>
            <w:tcW w:w="0" w:type="auto"/>
            <w:shd w:val="clear" w:color="auto" w:fill="auto"/>
            <w:vAlign w:val="center"/>
          </w:tcPr>
          <w:p w14:paraId="69FB3BEB">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数量</w:t>
            </w:r>
          </w:p>
        </w:tc>
      </w:tr>
      <w:tr w14:paraId="724C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BC1765D">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bookmarkStart w:id="2" w:name="_Hlk204256347"/>
            <w:r>
              <w:rPr>
                <w:rFonts w:hint="eastAsia" w:asciiTheme="minorEastAsia" w:hAnsiTheme="minorEastAsia" w:eastAsiaTheme="minorEastAsia" w:cstheme="minorEastAsia"/>
                <w:kern w:val="0"/>
                <w:sz w:val="21"/>
                <w:szCs w:val="21"/>
              </w:rPr>
              <w:t>1</w:t>
            </w:r>
          </w:p>
        </w:tc>
        <w:tc>
          <w:tcPr>
            <w:tcW w:w="0" w:type="auto"/>
            <w:vAlign w:val="center"/>
          </w:tcPr>
          <w:p w14:paraId="7E309CFB">
            <w:pPr>
              <w:adjustRightInd/>
              <w:snapToGrid w:val="0"/>
              <w:spacing w:line="240" w:lineRule="auto"/>
              <w:ind w:left="0" w:leftChars="0" w:right="0" w:rightChars="0" w:firstLine="0" w:firstLineChars="0"/>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门户平台框架搭建</w:t>
            </w:r>
          </w:p>
        </w:tc>
        <w:tc>
          <w:tcPr>
            <w:tcW w:w="0" w:type="auto"/>
            <w:vAlign w:val="center"/>
          </w:tcPr>
          <w:p w14:paraId="6C83FB1B">
            <w:pPr>
              <w:adjustRightInd/>
              <w:snapToGrid w:val="0"/>
              <w:spacing w:line="240" w:lineRule="auto"/>
              <w:ind w:left="0" w:leftChars="0" w:right="0" w:rightChars="0"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首页工作台、专题展示、个人空间建设、消息中心、公务人员统一认证服务、综合管理系统、系统基础功能等。</w:t>
            </w:r>
          </w:p>
        </w:tc>
        <w:tc>
          <w:tcPr>
            <w:tcW w:w="0" w:type="auto"/>
            <w:vAlign w:val="center"/>
          </w:tcPr>
          <w:p w14:paraId="7301A204">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0" w:type="auto"/>
            <w:vAlign w:val="center"/>
          </w:tcPr>
          <w:p w14:paraId="2FE963A4">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r>
      <w:tr w14:paraId="673D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6D614A5">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0" w:type="auto"/>
            <w:vAlign w:val="center"/>
          </w:tcPr>
          <w:p w14:paraId="62A56780">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工作管理中心</w:t>
            </w:r>
          </w:p>
        </w:tc>
        <w:tc>
          <w:tcPr>
            <w:tcW w:w="0" w:type="auto"/>
            <w:vAlign w:val="center"/>
          </w:tcPr>
          <w:p w14:paraId="0E758C8E">
            <w:pPr>
              <w:adjustRightInd/>
              <w:snapToGrid w:val="0"/>
              <w:spacing w:line="240" w:lineRule="auto"/>
              <w:ind w:left="0" w:leftChars="0" w:right="0" w:rightChars="0"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企业标签库管理、专题管理、经济指标管理、预警监测管理中心等功能。</w:t>
            </w:r>
          </w:p>
        </w:tc>
        <w:tc>
          <w:tcPr>
            <w:tcW w:w="0" w:type="auto"/>
            <w:vAlign w:val="center"/>
          </w:tcPr>
          <w:p w14:paraId="2EA2176F">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0" w:type="auto"/>
            <w:vAlign w:val="center"/>
          </w:tcPr>
          <w:p w14:paraId="44756BD9">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r>
      <w:tr w14:paraId="62BC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6039B0A">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0" w:type="auto"/>
            <w:vAlign w:val="center"/>
          </w:tcPr>
          <w:p w14:paraId="54500B5B">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一企一档服务</w:t>
            </w:r>
          </w:p>
        </w:tc>
        <w:tc>
          <w:tcPr>
            <w:tcW w:w="0" w:type="auto"/>
            <w:vAlign w:val="center"/>
          </w:tcPr>
          <w:p w14:paraId="63854958">
            <w:pPr>
              <w:adjustRightInd/>
              <w:snapToGrid w:val="0"/>
              <w:spacing w:line="240" w:lineRule="auto"/>
              <w:ind w:left="0" w:leftChars="0" w:right="0" w:rightChars="0"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企业画像、企业预警监测、企业榜单、企业对比、企业走访、企业报告等功能。</w:t>
            </w:r>
          </w:p>
        </w:tc>
        <w:tc>
          <w:tcPr>
            <w:tcW w:w="0" w:type="auto"/>
            <w:vAlign w:val="center"/>
          </w:tcPr>
          <w:p w14:paraId="181433E5">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0" w:type="auto"/>
            <w:vAlign w:val="center"/>
          </w:tcPr>
          <w:p w14:paraId="2314F6E7">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r>
      <w:tr w14:paraId="79E7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C5DCCC5">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0" w:type="auto"/>
            <w:vAlign w:val="center"/>
          </w:tcPr>
          <w:p w14:paraId="300A1973">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经济运行分析</w:t>
            </w:r>
          </w:p>
        </w:tc>
        <w:tc>
          <w:tcPr>
            <w:tcW w:w="0" w:type="auto"/>
            <w:vAlign w:val="center"/>
          </w:tcPr>
          <w:p w14:paraId="3FE20908">
            <w:pPr>
              <w:adjustRightInd/>
              <w:snapToGrid w:val="0"/>
              <w:spacing w:line="240" w:lineRule="auto"/>
              <w:ind w:left="0" w:leftChars="0" w:right="0" w:rightChars="0"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经济运行分析总览、指标分析、生成经济指标报告、区域企业画像、区域画像、区域项目画像、区域产业画像、招商学习库、商业大数据分析、人口大数据分析等功能。</w:t>
            </w:r>
          </w:p>
        </w:tc>
        <w:tc>
          <w:tcPr>
            <w:tcW w:w="0" w:type="auto"/>
            <w:vAlign w:val="center"/>
          </w:tcPr>
          <w:p w14:paraId="602F6221">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0" w:type="auto"/>
            <w:vAlign w:val="center"/>
          </w:tcPr>
          <w:p w14:paraId="7FD49180">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r>
      <w:tr w14:paraId="18D9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1697CE5">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0" w:type="auto"/>
            <w:vAlign w:val="center"/>
          </w:tcPr>
          <w:p w14:paraId="7A6E3AA7">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项目全生命周期管理平台升级改造</w:t>
            </w:r>
          </w:p>
        </w:tc>
        <w:tc>
          <w:tcPr>
            <w:tcW w:w="0" w:type="auto"/>
            <w:vAlign w:val="center"/>
          </w:tcPr>
          <w:p w14:paraId="4EB05824">
            <w:pPr>
              <w:adjustRightInd/>
              <w:snapToGrid w:val="0"/>
              <w:spacing w:line="240" w:lineRule="auto"/>
              <w:ind w:left="0" w:leftChars="0" w:right="0" w:rightChars="0"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招商流程改造、项目签约前评审流程改造、平台功能优化、项目预警升级、数字经济企业模块、项目落地评价模块等。</w:t>
            </w:r>
          </w:p>
        </w:tc>
        <w:tc>
          <w:tcPr>
            <w:tcW w:w="0" w:type="auto"/>
            <w:vAlign w:val="center"/>
          </w:tcPr>
          <w:p w14:paraId="1F76E006">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0" w:type="auto"/>
            <w:vAlign w:val="center"/>
          </w:tcPr>
          <w:p w14:paraId="2F114EC7">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r>
      <w:tr w14:paraId="3C85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EDBB4D3">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0" w:type="auto"/>
            <w:vAlign w:val="center"/>
          </w:tcPr>
          <w:p w14:paraId="1D867955">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数据目录服务</w:t>
            </w:r>
          </w:p>
        </w:tc>
        <w:tc>
          <w:tcPr>
            <w:tcW w:w="0" w:type="auto"/>
            <w:vAlign w:val="center"/>
          </w:tcPr>
          <w:p w14:paraId="11D9DCAC">
            <w:pPr>
              <w:adjustRightInd/>
              <w:snapToGrid w:val="0"/>
              <w:spacing w:line="240" w:lineRule="auto"/>
              <w:ind w:left="0" w:leftChars="0" w:right="0" w:rightChars="0"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数据目录、数据处理系统、质量监测系统、数据标准管理系统、数据上报模块等。</w:t>
            </w:r>
          </w:p>
        </w:tc>
        <w:tc>
          <w:tcPr>
            <w:tcW w:w="0" w:type="auto"/>
            <w:vAlign w:val="center"/>
          </w:tcPr>
          <w:p w14:paraId="550A2014">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0" w:type="auto"/>
            <w:vAlign w:val="center"/>
          </w:tcPr>
          <w:p w14:paraId="5A489AE5">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r>
      <w:tr w14:paraId="4B6F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11D8EF1">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0" w:type="auto"/>
            <w:vAlign w:val="center"/>
          </w:tcPr>
          <w:p w14:paraId="3193C6A4">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数据安全网关服务</w:t>
            </w:r>
          </w:p>
        </w:tc>
        <w:tc>
          <w:tcPr>
            <w:tcW w:w="0" w:type="auto"/>
            <w:vAlign w:val="center"/>
          </w:tcPr>
          <w:p w14:paraId="2EF5ADEF">
            <w:pPr>
              <w:adjustRightInd/>
              <w:snapToGrid w:val="0"/>
              <w:spacing w:line="240" w:lineRule="auto"/>
              <w:ind w:left="0" w:leftChars="0" w:right="0" w:rightChars="0"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API接口安全网关、应用安全访问网关、平台水印防泄漏、隐私数据脱敏处理、数据传输加密处理、重要数据加密存储、数据安全备份、服务器资源异常实时监控、接口异常实时监控等功能。</w:t>
            </w:r>
          </w:p>
        </w:tc>
        <w:tc>
          <w:tcPr>
            <w:tcW w:w="0" w:type="auto"/>
            <w:vAlign w:val="center"/>
          </w:tcPr>
          <w:p w14:paraId="0F16A7E8">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0" w:type="auto"/>
            <w:vAlign w:val="center"/>
          </w:tcPr>
          <w:p w14:paraId="736D53FE">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r>
      <w:tr w14:paraId="7C94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0E49151">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0" w:type="auto"/>
            <w:vAlign w:val="center"/>
          </w:tcPr>
          <w:p w14:paraId="7B09750E">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交易数据画像</w:t>
            </w:r>
          </w:p>
        </w:tc>
        <w:tc>
          <w:tcPr>
            <w:tcW w:w="0" w:type="auto"/>
            <w:vAlign w:val="center"/>
          </w:tcPr>
          <w:p w14:paraId="7B67E91F">
            <w:pPr>
              <w:adjustRightInd/>
              <w:snapToGrid w:val="0"/>
              <w:spacing w:line="240" w:lineRule="auto"/>
              <w:ind w:left="0" w:leftChars="0" w:right="0" w:rightChars="0"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交易项目画像、交易主体画像等。</w:t>
            </w:r>
          </w:p>
        </w:tc>
        <w:tc>
          <w:tcPr>
            <w:tcW w:w="0" w:type="auto"/>
            <w:vAlign w:val="center"/>
          </w:tcPr>
          <w:p w14:paraId="1D44434E">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0" w:type="auto"/>
            <w:vAlign w:val="center"/>
          </w:tcPr>
          <w:p w14:paraId="5E9846EF">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r>
      <w:tr w14:paraId="536C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B6E8989">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9</w:t>
            </w:r>
          </w:p>
        </w:tc>
        <w:tc>
          <w:tcPr>
            <w:tcW w:w="0" w:type="auto"/>
            <w:vAlign w:val="center"/>
          </w:tcPr>
          <w:p w14:paraId="47A08608">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统计专题</w:t>
            </w:r>
          </w:p>
        </w:tc>
        <w:tc>
          <w:tcPr>
            <w:tcW w:w="0" w:type="auto"/>
            <w:vAlign w:val="center"/>
          </w:tcPr>
          <w:p w14:paraId="74857721">
            <w:pPr>
              <w:adjustRightInd/>
              <w:snapToGrid w:val="0"/>
              <w:spacing w:line="240" w:lineRule="auto"/>
              <w:ind w:left="0" w:leftChars="0" w:right="0" w:rightChars="0"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统计数据资源中心、统计云门户、统计数据监测预测模型升级、统计数据标准管理能力、统计元数据管理能力、统计数据处理能力、统计专业报表设计能力、统计数据指标计算能力、统计数据安全共享服务能力等功能。</w:t>
            </w:r>
          </w:p>
        </w:tc>
        <w:tc>
          <w:tcPr>
            <w:tcW w:w="0" w:type="auto"/>
            <w:shd w:val="clear" w:color="auto" w:fill="auto"/>
            <w:vAlign w:val="center"/>
          </w:tcPr>
          <w:p w14:paraId="0EB3A9BC">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rPr>
              <w:t>套</w:t>
            </w:r>
          </w:p>
        </w:tc>
        <w:tc>
          <w:tcPr>
            <w:tcW w:w="0" w:type="auto"/>
            <w:shd w:val="clear" w:color="auto" w:fill="auto"/>
            <w:vAlign w:val="center"/>
          </w:tcPr>
          <w:p w14:paraId="030A163F">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rPr>
              <w:t>1</w:t>
            </w:r>
          </w:p>
        </w:tc>
      </w:tr>
      <w:bookmarkEnd w:id="2"/>
    </w:tbl>
    <w:p w14:paraId="50CF5AF2">
      <w:pPr>
        <w:pStyle w:val="2"/>
        <w:numPr>
          <w:ilvl w:val="0"/>
          <w:numId w:val="0"/>
        </w:numPr>
        <w:spacing w:line="400" w:lineRule="exact"/>
        <w:rPr>
          <w:rFonts w:hint="eastAsia" w:cs="黑体" w:asciiTheme="minorEastAsia" w:hAnsiTheme="minorEastAsia" w:eastAsiaTheme="minorEastAsia"/>
          <w:sz w:val="24"/>
          <w:szCs w:val="24"/>
        </w:rPr>
      </w:pPr>
    </w:p>
    <w:p w14:paraId="65AE3C18">
      <w:pPr>
        <w:pStyle w:val="2"/>
        <w:numPr>
          <w:ilvl w:val="0"/>
          <w:numId w:val="0"/>
        </w:numPr>
        <w:rPr>
          <w:rFonts w:hint="eastAsia" w:ascii="宋体" w:hAnsi="宋体" w:cs="宋体"/>
          <w:color w:val="000000"/>
          <w:kern w:val="0"/>
          <w:sz w:val="21"/>
          <w:szCs w:val="21"/>
          <w:lang w:bidi="ar"/>
        </w:rPr>
      </w:pPr>
      <w:r>
        <w:rPr>
          <w:rFonts w:hint="eastAsia" w:cs="黑体" w:asciiTheme="minorEastAsia" w:hAnsiTheme="minorEastAsia" w:eastAsiaTheme="minorEastAsia"/>
          <w:sz w:val="24"/>
          <w:szCs w:val="24"/>
        </w:rPr>
        <w:t>2.2</w:t>
      </w:r>
      <w:r>
        <w:rPr>
          <w:rFonts w:hint="eastAsia" w:cs="黑体" w:asciiTheme="minorEastAsia" w:hAnsiTheme="minorEastAsia" w:eastAsiaTheme="minorEastAsia"/>
          <w:sz w:val="24"/>
          <w:szCs w:val="24"/>
          <w:lang w:val="en-US" w:eastAsia="zh-CN"/>
        </w:rPr>
        <w:t xml:space="preserve"> 数据</w:t>
      </w:r>
      <w:r>
        <w:rPr>
          <w:rFonts w:hint="eastAsia" w:cs="黑体" w:asciiTheme="minorEastAsia" w:hAnsiTheme="minorEastAsia" w:eastAsiaTheme="minorEastAsia"/>
          <w:sz w:val="24"/>
          <w:szCs w:val="24"/>
        </w:rPr>
        <w:t>采购清单</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16"/>
        <w:gridCol w:w="1438"/>
        <w:gridCol w:w="5535"/>
        <w:gridCol w:w="516"/>
        <w:gridCol w:w="517"/>
      </w:tblGrid>
      <w:tr w14:paraId="4AC65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l2br w:val="nil"/>
              <w:tr2bl w:val="nil"/>
            </w:tcBorders>
            <w:shd w:val="clear" w:color="auto" w:fill="auto"/>
            <w:vAlign w:val="center"/>
          </w:tcPr>
          <w:p w14:paraId="17777B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1"/>
                <w:szCs w:val="21"/>
                <w:u w:val="none"/>
              </w:rPr>
            </w:pPr>
            <w:r>
              <w:rPr>
                <w:rFonts w:hint="eastAsia" w:asciiTheme="minorEastAsia" w:hAnsiTheme="minorEastAsia" w:eastAsiaTheme="minorEastAsia" w:cstheme="minorEastAsia"/>
                <w:b/>
                <w:i w:val="0"/>
                <w:iCs w:val="0"/>
                <w:color w:val="000000"/>
                <w:kern w:val="0"/>
                <w:sz w:val="21"/>
                <w:szCs w:val="21"/>
                <w:u w:val="none"/>
                <w:lang w:val="en-US" w:eastAsia="zh-CN" w:bidi="ar"/>
              </w:rPr>
              <w:t>序号</w:t>
            </w:r>
          </w:p>
        </w:tc>
        <w:tc>
          <w:tcPr>
            <w:tcW w:w="0" w:type="auto"/>
            <w:tcBorders>
              <w:tl2br w:val="nil"/>
              <w:tr2bl w:val="nil"/>
            </w:tcBorders>
            <w:shd w:val="clear" w:color="auto" w:fill="auto"/>
            <w:vAlign w:val="center"/>
          </w:tcPr>
          <w:p w14:paraId="00CB8D3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1"/>
                <w:szCs w:val="21"/>
                <w:u w:val="none"/>
              </w:rPr>
            </w:pPr>
            <w:r>
              <w:rPr>
                <w:rFonts w:hint="eastAsia" w:asciiTheme="minorEastAsia" w:hAnsiTheme="minorEastAsia" w:eastAsiaTheme="minorEastAsia" w:cstheme="minorEastAsia"/>
                <w:b/>
                <w:i w:val="0"/>
                <w:iCs w:val="0"/>
                <w:color w:val="000000"/>
                <w:kern w:val="0"/>
                <w:sz w:val="21"/>
                <w:szCs w:val="21"/>
                <w:u w:val="none"/>
                <w:lang w:val="en-US" w:eastAsia="zh-CN" w:bidi="ar"/>
              </w:rPr>
              <w:t>名称</w:t>
            </w:r>
          </w:p>
        </w:tc>
        <w:tc>
          <w:tcPr>
            <w:tcW w:w="0" w:type="auto"/>
            <w:tcBorders>
              <w:tl2br w:val="nil"/>
              <w:tr2bl w:val="nil"/>
            </w:tcBorders>
            <w:shd w:val="clear" w:color="auto" w:fill="auto"/>
            <w:vAlign w:val="center"/>
          </w:tcPr>
          <w:p w14:paraId="0C6735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1"/>
                <w:szCs w:val="21"/>
                <w:u w:val="none"/>
              </w:rPr>
            </w:pPr>
            <w:r>
              <w:rPr>
                <w:rFonts w:hint="eastAsia" w:asciiTheme="minorEastAsia" w:hAnsiTheme="minorEastAsia" w:eastAsiaTheme="minorEastAsia" w:cstheme="minorEastAsia"/>
                <w:b/>
                <w:i w:val="0"/>
                <w:iCs w:val="0"/>
                <w:color w:val="000000"/>
                <w:kern w:val="0"/>
                <w:sz w:val="21"/>
                <w:szCs w:val="21"/>
                <w:u w:val="none"/>
                <w:lang w:val="en-US" w:eastAsia="zh-CN" w:bidi="ar"/>
              </w:rPr>
              <w:t>数据内容</w:t>
            </w:r>
          </w:p>
        </w:tc>
        <w:tc>
          <w:tcPr>
            <w:tcW w:w="0" w:type="auto"/>
            <w:tcBorders>
              <w:tl2br w:val="nil"/>
              <w:tr2bl w:val="nil"/>
            </w:tcBorders>
            <w:shd w:val="clear" w:color="auto" w:fill="auto"/>
            <w:vAlign w:val="center"/>
          </w:tcPr>
          <w:p w14:paraId="7322DF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1"/>
                <w:szCs w:val="21"/>
                <w:u w:val="none"/>
                <w:lang w:val="en-US" w:eastAsia="zh-CN"/>
              </w:rPr>
            </w:pPr>
            <w:r>
              <w:rPr>
                <w:rFonts w:hint="eastAsia" w:asciiTheme="minorEastAsia" w:hAnsiTheme="minorEastAsia" w:eastAsiaTheme="minorEastAsia" w:cstheme="minorEastAsia"/>
                <w:b/>
                <w:i w:val="0"/>
                <w:iCs w:val="0"/>
                <w:color w:val="000000"/>
                <w:sz w:val="21"/>
                <w:szCs w:val="21"/>
                <w:u w:val="none"/>
                <w:lang w:val="en-US" w:eastAsia="zh-CN"/>
              </w:rPr>
              <w:t>单位</w:t>
            </w:r>
          </w:p>
        </w:tc>
        <w:tc>
          <w:tcPr>
            <w:tcW w:w="0" w:type="auto"/>
            <w:tcBorders>
              <w:tl2br w:val="nil"/>
              <w:tr2bl w:val="nil"/>
            </w:tcBorders>
            <w:shd w:val="clear" w:color="auto" w:fill="auto"/>
            <w:vAlign w:val="center"/>
          </w:tcPr>
          <w:p w14:paraId="50F157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1"/>
                <w:szCs w:val="21"/>
                <w:u w:val="none"/>
                <w:lang w:val="en-US" w:eastAsia="zh-CN"/>
              </w:rPr>
            </w:pPr>
            <w:r>
              <w:rPr>
                <w:rFonts w:hint="eastAsia" w:asciiTheme="minorEastAsia" w:hAnsiTheme="minorEastAsia" w:eastAsiaTheme="minorEastAsia" w:cstheme="minorEastAsia"/>
                <w:b/>
                <w:i w:val="0"/>
                <w:iCs w:val="0"/>
                <w:color w:val="000000"/>
                <w:sz w:val="21"/>
                <w:szCs w:val="21"/>
                <w:u w:val="none"/>
                <w:lang w:val="en-US" w:eastAsia="zh-CN"/>
              </w:rPr>
              <w:t>数量</w:t>
            </w:r>
          </w:p>
        </w:tc>
      </w:tr>
      <w:tr w14:paraId="28BCD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shd w:val="clear" w:color="auto" w:fill="auto"/>
            <w:vAlign w:val="center"/>
          </w:tcPr>
          <w:p w14:paraId="13524A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0" w:type="auto"/>
            <w:tcBorders>
              <w:tl2br w:val="nil"/>
              <w:tr2bl w:val="nil"/>
            </w:tcBorders>
            <w:shd w:val="clear" w:color="auto" w:fill="auto"/>
            <w:vAlign w:val="center"/>
          </w:tcPr>
          <w:p w14:paraId="4A4967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江阴企业数据（一年期）</w:t>
            </w:r>
          </w:p>
        </w:tc>
        <w:tc>
          <w:tcPr>
            <w:tcW w:w="0" w:type="auto"/>
            <w:tcBorders>
              <w:tl2br w:val="nil"/>
              <w:tr2bl w:val="nil"/>
            </w:tcBorders>
            <w:shd w:val="clear" w:color="auto" w:fill="auto"/>
            <w:vAlign w:val="center"/>
          </w:tcPr>
          <w:p w14:paraId="4E419C44">
            <w:pPr>
              <w:snapToGrid w:val="0"/>
              <w:spacing w:line="240" w:lineRule="auto"/>
              <w:ind w:left="0" w:leftChars="0" w:firstLine="0" w:firstLineChars="0"/>
              <w:jc w:val="left"/>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江阴区域内的企业数据，包括企业工商数据、企业供应链数据、企业标签数据、企业金融市场投融资数据、企业舆情</w:t>
            </w:r>
            <w:r>
              <w:rPr>
                <w:rFonts w:hint="eastAsia" w:asciiTheme="minorEastAsia" w:hAnsiTheme="minorEastAsia" w:eastAsiaTheme="minorEastAsia" w:cstheme="minorEastAsia"/>
                <w:color w:val="000000"/>
                <w:kern w:val="0"/>
                <w:sz w:val="21"/>
                <w:szCs w:val="21"/>
                <w:lang w:val="en-US" w:eastAsia="zh-CN" w:bidi="ar"/>
              </w:rPr>
              <w:t>等多维数据。</w:t>
            </w:r>
          </w:p>
        </w:tc>
        <w:tc>
          <w:tcPr>
            <w:tcW w:w="0" w:type="auto"/>
            <w:tcBorders>
              <w:tl2br w:val="nil"/>
              <w:tr2bl w:val="nil"/>
            </w:tcBorders>
            <w:shd w:val="clear" w:color="auto" w:fill="auto"/>
            <w:vAlign w:val="center"/>
          </w:tcPr>
          <w:p w14:paraId="6A4C62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项</w:t>
            </w:r>
          </w:p>
        </w:tc>
        <w:tc>
          <w:tcPr>
            <w:tcW w:w="0" w:type="auto"/>
            <w:tcBorders>
              <w:tl2br w:val="nil"/>
              <w:tr2bl w:val="nil"/>
            </w:tcBorders>
            <w:shd w:val="clear" w:color="auto" w:fill="auto"/>
            <w:vAlign w:val="center"/>
          </w:tcPr>
          <w:p w14:paraId="1ADB94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w:t>
            </w:r>
          </w:p>
        </w:tc>
      </w:tr>
    </w:tbl>
    <w:p w14:paraId="7A6EF2EC">
      <w:pPr>
        <w:rPr>
          <w:rFonts w:hint="eastAsia" w:ascii="宋体" w:hAnsi="宋体" w:cs="宋体"/>
          <w:color w:val="000000"/>
          <w:kern w:val="0"/>
          <w:sz w:val="21"/>
          <w:szCs w:val="21"/>
          <w:lang w:val="en-US" w:eastAsia="zh-CN" w:bidi="ar"/>
        </w:rPr>
      </w:pPr>
    </w:p>
    <w:p w14:paraId="79D2C20B">
      <w:pPr>
        <w:pStyle w:val="2"/>
        <w:numPr>
          <w:ilvl w:val="0"/>
          <w:numId w:val="0"/>
        </w:numPr>
        <w:spacing w:line="400" w:lineRule="exact"/>
        <w:rPr>
          <w:rFonts w:hint="eastAsia" w:cs="黑体" w:asciiTheme="minorEastAsia" w:hAnsiTheme="minorEastAsia" w:eastAsiaTheme="minorEastAsia"/>
          <w:sz w:val="24"/>
          <w:szCs w:val="24"/>
        </w:rPr>
      </w:pPr>
      <w:r>
        <w:rPr>
          <w:rFonts w:hint="eastAsia" w:cs="黑体" w:asciiTheme="minorEastAsia" w:hAnsiTheme="minorEastAsia" w:eastAsiaTheme="minorEastAsia"/>
          <w:sz w:val="24"/>
          <w:szCs w:val="24"/>
        </w:rPr>
        <w:t>2.3</w:t>
      </w:r>
      <w:r>
        <w:rPr>
          <w:rFonts w:hint="eastAsia" w:cs="黑体" w:asciiTheme="minorEastAsia" w:hAnsiTheme="minorEastAsia" w:eastAsiaTheme="minorEastAsia"/>
          <w:sz w:val="24"/>
          <w:szCs w:val="24"/>
          <w:lang w:val="en-US" w:eastAsia="zh-CN"/>
        </w:rPr>
        <w:t xml:space="preserve"> 数据治理服务</w:t>
      </w:r>
      <w:r>
        <w:rPr>
          <w:rFonts w:hint="eastAsia" w:cs="黑体" w:asciiTheme="minorEastAsia" w:hAnsiTheme="minorEastAsia" w:eastAsiaTheme="minorEastAsia"/>
          <w:sz w:val="24"/>
          <w:szCs w:val="24"/>
        </w:rPr>
        <w:t>采购清单</w:t>
      </w:r>
    </w:p>
    <w:p w14:paraId="1CF2466C">
      <w:pPr>
        <w:bidi w:val="0"/>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1446"/>
        <w:gridCol w:w="5572"/>
        <w:gridCol w:w="501"/>
        <w:gridCol w:w="502"/>
      </w:tblGrid>
      <w:tr w14:paraId="45D7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shd w:val="clear" w:color="auto" w:fill="auto"/>
            <w:vAlign w:val="center"/>
          </w:tcPr>
          <w:p w14:paraId="3A01B942">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0" w:type="auto"/>
            <w:shd w:val="clear" w:color="auto" w:fill="auto"/>
            <w:vAlign w:val="center"/>
          </w:tcPr>
          <w:p w14:paraId="7292F07D">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kern w:val="0"/>
                <w:sz w:val="21"/>
                <w:szCs w:val="21"/>
                <w:lang w:val="en-US" w:eastAsia="zh-CN"/>
              </w:rPr>
            </w:pPr>
            <w:r>
              <w:rPr>
                <w:rFonts w:hint="eastAsia" w:asciiTheme="minorEastAsia" w:hAnsiTheme="minorEastAsia" w:eastAsiaTheme="minorEastAsia" w:cstheme="minorEastAsia"/>
                <w:b/>
                <w:kern w:val="0"/>
                <w:sz w:val="21"/>
                <w:szCs w:val="21"/>
                <w:lang w:val="en-US" w:eastAsia="zh-CN"/>
              </w:rPr>
              <w:t>服务名称</w:t>
            </w:r>
          </w:p>
        </w:tc>
        <w:tc>
          <w:tcPr>
            <w:tcW w:w="0" w:type="auto"/>
            <w:shd w:val="clear" w:color="auto" w:fill="auto"/>
            <w:vAlign w:val="center"/>
          </w:tcPr>
          <w:p w14:paraId="73E27276">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kern w:val="0"/>
                <w:sz w:val="21"/>
                <w:szCs w:val="21"/>
                <w:lang w:val="en-US" w:eastAsia="zh-CN"/>
              </w:rPr>
            </w:pPr>
            <w:r>
              <w:rPr>
                <w:rFonts w:hint="eastAsia" w:asciiTheme="minorEastAsia" w:hAnsiTheme="minorEastAsia" w:eastAsiaTheme="minorEastAsia" w:cstheme="minorEastAsia"/>
                <w:b/>
                <w:kern w:val="0"/>
                <w:sz w:val="21"/>
                <w:szCs w:val="21"/>
                <w:lang w:val="en-US" w:eastAsia="zh-CN"/>
              </w:rPr>
              <w:t>服务内容</w:t>
            </w:r>
          </w:p>
        </w:tc>
        <w:tc>
          <w:tcPr>
            <w:tcW w:w="0" w:type="auto"/>
            <w:shd w:val="clear" w:color="auto" w:fill="auto"/>
            <w:vAlign w:val="center"/>
          </w:tcPr>
          <w:p w14:paraId="2D249BA9">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单位</w:t>
            </w:r>
          </w:p>
        </w:tc>
        <w:tc>
          <w:tcPr>
            <w:tcW w:w="0" w:type="auto"/>
            <w:shd w:val="clear" w:color="auto" w:fill="auto"/>
            <w:vAlign w:val="center"/>
          </w:tcPr>
          <w:p w14:paraId="21B92E41">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数量</w:t>
            </w:r>
          </w:p>
        </w:tc>
      </w:tr>
      <w:tr w14:paraId="7F71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F0A13F8">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0" w:type="auto"/>
            <w:vAlign w:val="center"/>
          </w:tcPr>
          <w:p w14:paraId="5336799B">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数据治理和实施服务</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三年</w:t>
            </w:r>
            <w:r>
              <w:rPr>
                <w:rFonts w:hint="eastAsia" w:asciiTheme="minorEastAsia" w:hAnsiTheme="minorEastAsia" w:eastAsiaTheme="minorEastAsia" w:cstheme="minorEastAsia"/>
                <w:kern w:val="0"/>
                <w:sz w:val="21"/>
                <w:szCs w:val="21"/>
                <w:lang w:eastAsia="zh-CN"/>
              </w:rPr>
              <w:t>）</w:t>
            </w:r>
          </w:p>
        </w:tc>
        <w:tc>
          <w:tcPr>
            <w:tcW w:w="0" w:type="auto"/>
            <w:vAlign w:val="center"/>
          </w:tcPr>
          <w:p w14:paraId="44CC0134">
            <w:pPr>
              <w:adjustRightInd/>
              <w:snapToGrid w:val="0"/>
              <w:spacing w:line="240" w:lineRule="auto"/>
              <w:ind w:left="0" w:leftChars="0" w:right="0" w:rightChars="0"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包含数据梳理服务、数据治理标准规范服务、原始库和标准库治理服务、“一企一档”主题库数据治理服务、数据治理风险防控和数据治理评估服务等内容。</w:t>
            </w:r>
          </w:p>
        </w:tc>
        <w:tc>
          <w:tcPr>
            <w:tcW w:w="0" w:type="auto"/>
            <w:vAlign w:val="center"/>
          </w:tcPr>
          <w:p w14:paraId="56B27470">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套</w:t>
            </w:r>
          </w:p>
        </w:tc>
        <w:tc>
          <w:tcPr>
            <w:tcW w:w="0" w:type="auto"/>
            <w:vAlign w:val="center"/>
          </w:tcPr>
          <w:p w14:paraId="44BA26B0">
            <w:pPr>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r>
    </w:tbl>
    <w:p w14:paraId="1FD73BDA">
      <w:pPr>
        <w:rPr>
          <w:rFonts w:hint="eastAsia" w:cs="黑体" w:asciiTheme="minorEastAsia" w:hAnsiTheme="minorEastAsia" w:eastAsiaTheme="minorEastAsia"/>
          <w:sz w:val="24"/>
          <w:szCs w:val="24"/>
        </w:rPr>
      </w:pPr>
    </w:p>
    <w:p w14:paraId="7548986E">
      <w:pPr>
        <w:pStyle w:val="3"/>
        <w:numPr>
          <w:ilvl w:val="0"/>
          <w:numId w:val="0"/>
        </w:numPr>
        <w:spacing w:line="400" w:lineRule="exact"/>
        <w:rPr>
          <w:rFonts w:ascii="黑体" w:hAnsi="黑体" w:eastAsia="黑体" w:cs="黑体"/>
          <w:b w:val="0"/>
          <w:sz w:val="28"/>
          <w:szCs w:val="52"/>
        </w:rPr>
      </w:pPr>
      <w:r>
        <w:rPr>
          <w:rFonts w:hint="eastAsia" w:ascii="黑体" w:hAnsi="黑体" w:eastAsia="黑体" w:cs="黑体"/>
          <w:b w:val="0"/>
          <w:sz w:val="28"/>
          <w:szCs w:val="52"/>
        </w:rPr>
        <w:t>三、建设内容</w:t>
      </w:r>
    </w:p>
    <w:p w14:paraId="616FB7AC">
      <w:pPr>
        <w:pStyle w:val="2"/>
        <w:numPr>
          <w:ilvl w:val="0"/>
          <w:numId w:val="0"/>
        </w:numPr>
        <w:spacing w:line="400" w:lineRule="exact"/>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3.1</w:t>
      </w:r>
      <w:r>
        <w:rPr>
          <w:rFonts w:hint="eastAsia" w:cs="黑体" w:asciiTheme="minorEastAsia" w:hAnsiTheme="minorEastAsia" w:eastAsiaTheme="minorEastAsia"/>
          <w:sz w:val="24"/>
          <w:szCs w:val="24"/>
          <w:lang w:val="en-US" w:eastAsia="zh-CN"/>
        </w:rPr>
        <w:t xml:space="preserve"> </w:t>
      </w:r>
      <w:r>
        <w:rPr>
          <w:rFonts w:hint="eastAsia" w:cs="黑体" w:asciiTheme="minorEastAsia" w:hAnsiTheme="minorEastAsia" w:eastAsiaTheme="minorEastAsia"/>
          <w:sz w:val="24"/>
          <w:szCs w:val="24"/>
        </w:rPr>
        <w:t>定制化软件开发参数</w:t>
      </w:r>
    </w:p>
    <w:p w14:paraId="09FD19A4">
      <w:pPr>
        <w:pStyle w:val="4"/>
        <w:numPr>
          <w:ilvl w:val="0"/>
          <w:numId w:val="0"/>
        </w:numPr>
        <w:spacing w:line="400" w:lineRule="exact"/>
        <w:ind w:left="567"/>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3.1.1</w:t>
      </w:r>
      <w:r>
        <w:rPr>
          <w:rFonts w:hint="eastAsia" w:cs="黑体" w:asciiTheme="minorEastAsia" w:hAnsiTheme="minorEastAsia" w:eastAsiaTheme="minorEastAsia"/>
          <w:sz w:val="24"/>
          <w:szCs w:val="24"/>
          <w:lang w:val="en-US" w:eastAsia="zh-CN"/>
        </w:rPr>
        <w:t>门户平台框架</w:t>
      </w:r>
      <w:r>
        <w:rPr>
          <w:rFonts w:hint="eastAsia" w:cs="黑体" w:asciiTheme="minorEastAsia" w:hAnsiTheme="minorEastAsia" w:eastAsiaTheme="minorEastAsia"/>
          <w:sz w:val="24"/>
          <w:szCs w:val="24"/>
        </w:rPr>
        <w:t>建设</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1304"/>
        <w:gridCol w:w="1603"/>
        <w:gridCol w:w="1509"/>
        <w:gridCol w:w="3342"/>
      </w:tblGrid>
      <w:tr w14:paraId="2C10A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448" w:type="pct"/>
            <w:tcBorders>
              <w:tl2br w:val="nil"/>
              <w:tr2bl w:val="nil"/>
            </w:tcBorders>
            <w:shd w:val="clear" w:color="auto" w:fill="auto"/>
            <w:vAlign w:val="center"/>
          </w:tcPr>
          <w:p w14:paraId="1408728F">
            <w:pPr>
              <w:widowControl/>
              <w:snapToGrid w:val="0"/>
              <w:spacing w:line="240" w:lineRule="auto"/>
              <w:ind w:left="0" w:leftChars="0" w:right="0" w:rightChars="0" w:firstLine="0" w:firstLineChars="0"/>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序号</w:t>
            </w:r>
          </w:p>
        </w:tc>
        <w:tc>
          <w:tcPr>
            <w:tcW w:w="765" w:type="pct"/>
            <w:tcBorders>
              <w:tl2br w:val="nil"/>
              <w:tr2bl w:val="nil"/>
            </w:tcBorders>
            <w:shd w:val="clear" w:color="auto" w:fill="auto"/>
            <w:vAlign w:val="center"/>
          </w:tcPr>
          <w:p w14:paraId="6058862C">
            <w:pPr>
              <w:widowControl/>
              <w:snapToGrid w:val="0"/>
              <w:spacing w:line="240" w:lineRule="auto"/>
              <w:ind w:left="0" w:leftChars="0" w:right="0" w:rightChars="0" w:firstLine="0" w:firstLineChars="0"/>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分项名称</w:t>
            </w:r>
          </w:p>
        </w:tc>
        <w:tc>
          <w:tcPr>
            <w:tcW w:w="940" w:type="pct"/>
            <w:tcBorders>
              <w:tl2br w:val="nil"/>
              <w:tr2bl w:val="nil"/>
            </w:tcBorders>
            <w:shd w:val="clear" w:color="auto" w:fill="auto"/>
            <w:vAlign w:val="center"/>
          </w:tcPr>
          <w:p w14:paraId="74B387CE">
            <w:pPr>
              <w:widowControl/>
              <w:snapToGrid w:val="0"/>
              <w:spacing w:line="240" w:lineRule="auto"/>
              <w:ind w:left="0" w:leftChars="0" w:right="0" w:rightChars="0" w:firstLine="0" w:firstLineChars="0"/>
              <w:jc w:val="center"/>
              <w:textAlignment w:val="center"/>
              <w:rPr>
                <w:rFonts w:hint="default"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模块名称</w:t>
            </w:r>
          </w:p>
        </w:tc>
        <w:tc>
          <w:tcPr>
            <w:tcW w:w="885" w:type="pct"/>
            <w:tcBorders>
              <w:tl2br w:val="nil"/>
              <w:tr2bl w:val="nil"/>
            </w:tcBorders>
            <w:shd w:val="clear" w:color="auto" w:fill="auto"/>
            <w:vAlign w:val="center"/>
          </w:tcPr>
          <w:p w14:paraId="30DB9D1E">
            <w:pPr>
              <w:widowControl/>
              <w:snapToGrid w:val="0"/>
              <w:spacing w:line="240" w:lineRule="auto"/>
              <w:ind w:left="0" w:leftChars="0" w:right="0" w:rightChars="0" w:firstLine="0" w:firstLineChars="0"/>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val="en-US" w:eastAsia="zh-CN" w:bidi="ar"/>
              </w:rPr>
              <w:t>子功能</w:t>
            </w:r>
            <w:r>
              <w:rPr>
                <w:rFonts w:hint="eastAsia" w:ascii="宋体" w:hAnsi="宋体" w:cs="宋体"/>
                <w:b/>
                <w:bCs/>
                <w:color w:val="000000"/>
                <w:kern w:val="0"/>
                <w:sz w:val="21"/>
                <w:szCs w:val="21"/>
                <w:lang w:bidi="ar"/>
              </w:rPr>
              <w:t>名称</w:t>
            </w:r>
          </w:p>
        </w:tc>
        <w:tc>
          <w:tcPr>
            <w:tcW w:w="1960" w:type="pct"/>
            <w:tcBorders>
              <w:tl2br w:val="nil"/>
              <w:tr2bl w:val="nil"/>
            </w:tcBorders>
            <w:shd w:val="clear" w:color="auto" w:fill="auto"/>
            <w:vAlign w:val="center"/>
          </w:tcPr>
          <w:p w14:paraId="28E97410">
            <w:pPr>
              <w:widowControl/>
              <w:snapToGrid w:val="0"/>
              <w:spacing w:line="240" w:lineRule="auto"/>
              <w:ind w:left="0" w:leftChars="0" w:right="0" w:rightChars="0" w:firstLine="0" w:firstLineChars="0"/>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功能要求</w:t>
            </w:r>
          </w:p>
        </w:tc>
      </w:tr>
      <w:tr w14:paraId="616BA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09F83204">
            <w:pPr>
              <w:widowControl/>
              <w:snapToGrid w:val="0"/>
              <w:spacing w:line="240" w:lineRule="auto"/>
              <w:ind w:left="0" w:leftChars="0" w:right="0" w:rightChars="0"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765" w:type="pct"/>
            <w:vMerge w:val="restart"/>
            <w:tcBorders>
              <w:tl2br w:val="nil"/>
              <w:tr2bl w:val="nil"/>
            </w:tcBorders>
            <w:vAlign w:val="center"/>
          </w:tcPr>
          <w:p w14:paraId="06555F42">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门户平台框架建设</w:t>
            </w:r>
          </w:p>
        </w:tc>
        <w:tc>
          <w:tcPr>
            <w:tcW w:w="940" w:type="pct"/>
            <w:vMerge w:val="restart"/>
            <w:tcBorders>
              <w:tl2br w:val="nil"/>
              <w:tr2bl w:val="nil"/>
            </w:tcBorders>
            <w:vAlign w:val="center"/>
          </w:tcPr>
          <w:p w14:paraId="3CA90CE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首页工作台</w:t>
            </w:r>
          </w:p>
        </w:tc>
        <w:tc>
          <w:tcPr>
            <w:tcW w:w="885" w:type="pct"/>
            <w:tcBorders>
              <w:tl2br w:val="nil"/>
              <w:tr2bl w:val="nil"/>
            </w:tcBorders>
            <w:vAlign w:val="center"/>
          </w:tcPr>
          <w:p w14:paraId="60EC0EC8">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企业搜索</w:t>
            </w:r>
          </w:p>
        </w:tc>
        <w:tc>
          <w:tcPr>
            <w:tcW w:w="1960" w:type="pct"/>
            <w:tcBorders>
              <w:tl2br w:val="nil"/>
              <w:tr2bl w:val="nil"/>
            </w:tcBorders>
            <w:vAlign w:val="center"/>
          </w:tcPr>
          <w:p w14:paraId="5DE5553B">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提供企业信息搜索功能，结果可直达一企一档服务；支持实时更新展示热门搜索记录，支持一键直达企业画像。</w:t>
            </w:r>
          </w:p>
        </w:tc>
      </w:tr>
      <w:tr w14:paraId="335B4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074781F0">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765" w:type="pct"/>
            <w:vMerge w:val="continue"/>
            <w:tcBorders>
              <w:tl2br w:val="nil"/>
              <w:tr2bl w:val="nil"/>
            </w:tcBorders>
            <w:vAlign w:val="center"/>
          </w:tcPr>
          <w:p w14:paraId="4021186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940" w:type="pct"/>
            <w:vMerge w:val="continue"/>
            <w:tcBorders>
              <w:tl2br w:val="nil"/>
              <w:tr2bl w:val="nil"/>
            </w:tcBorders>
            <w:vAlign w:val="center"/>
          </w:tcPr>
          <w:p w14:paraId="393D6BEC">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6AAC8626">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快捷入口</w:t>
            </w:r>
          </w:p>
        </w:tc>
        <w:tc>
          <w:tcPr>
            <w:tcW w:w="1960" w:type="pct"/>
            <w:tcBorders>
              <w:tl2br w:val="nil"/>
              <w:tr2bl w:val="nil"/>
            </w:tcBorders>
            <w:vAlign w:val="center"/>
          </w:tcPr>
          <w:p w14:paraId="3B1247F1">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具备多个高频快捷访问入口，支持一键直达专题系统或服务应用。</w:t>
            </w:r>
          </w:p>
        </w:tc>
      </w:tr>
      <w:tr w14:paraId="3B27A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7546097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765" w:type="pct"/>
            <w:vMerge w:val="continue"/>
            <w:tcBorders>
              <w:tl2br w:val="nil"/>
              <w:tr2bl w:val="nil"/>
            </w:tcBorders>
            <w:vAlign w:val="center"/>
          </w:tcPr>
          <w:p w14:paraId="510D3072">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40D45AA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711C196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全市企业数据统计</w:t>
            </w:r>
          </w:p>
        </w:tc>
        <w:tc>
          <w:tcPr>
            <w:tcW w:w="1960" w:type="pct"/>
            <w:tcBorders>
              <w:tl2br w:val="nil"/>
              <w:tr2bl w:val="nil"/>
            </w:tcBorders>
            <w:vAlign w:val="center"/>
          </w:tcPr>
          <w:p w14:paraId="4872CE30">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提供全市市场主体多维统计分析，包括市场主体总量、三产企业分布、月度企业数量变化等，支持可视化分析展示。</w:t>
            </w:r>
          </w:p>
        </w:tc>
      </w:tr>
      <w:tr w14:paraId="0DED0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390A223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4</w:t>
            </w:r>
          </w:p>
        </w:tc>
        <w:tc>
          <w:tcPr>
            <w:tcW w:w="765" w:type="pct"/>
            <w:vMerge w:val="continue"/>
            <w:tcBorders>
              <w:tl2br w:val="nil"/>
              <w:tr2bl w:val="nil"/>
            </w:tcBorders>
            <w:vAlign w:val="center"/>
          </w:tcPr>
          <w:p w14:paraId="7E004336">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shd w:val="clear" w:color="auto" w:fill="auto"/>
            <w:vAlign w:val="center"/>
          </w:tcPr>
          <w:p w14:paraId="7C0B9F0E">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shd w:val="clear" w:color="auto" w:fill="auto"/>
            <w:vAlign w:val="center"/>
          </w:tcPr>
          <w:p w14:paraId="44AB5898">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镇街园区企业数据统计</w:t>
            </w:r>
          </w:p>
        </w:tc>
        <w:tc>
          <w:tcPr>
            <w:tcW w:w="1960" w:type="pct"/>
            <w:tcBorders>
              <w:tl2br w:val="nil"/>
              <w:tr2bl w:val="nil"/>
            </w:tcBorders>
            <w:shd w:val="clear" w:color="auto" w:fill="auto"/>
            <w:vAlign w:val="center"/>
          </w:tcPr>
          <w:p w14:paraId="2F9EB1DB">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提供全市所有板块各自市场主体数量统计分析，支持可视化的图像展示。</w:t>
            </w:r>
          </w:p>
        </w:tc>
      </w:tr>
      <w:tr w14:paraId="01ACC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0B8DDF2C">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5</w:t>
            </w:r>
          </w:p>
        </w:tc>
        <w:tc>
          <w:tcPr>
            <w:tcW w:w="765" w:type="pct"/>
            <w:vMerge w:val="continue"/>
            <w:tcBorders>
              <w:tl2br w:val="nil"/>
              <w:tr2bl w:val="nil"/>
            </w:tcBorders>
            <w:vAlign w:val="center"/>
          </w:tcPr>
          <w:p w14:paraId="5D0824D2">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restart"/>
            <w:tcBorders>
              <w:tl2br w:val="nil"/>
              <w:tr2bl w:val="nil"/>
            </w:tcBorders>
            <w:shd w:val="clear" w:color="auto" w:fill="auto"/>
            <w:vAlign w:val="center"/>
          </w:tcPr>
          <w:p w14:paraId="5D8FD894">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专题管理</w:t>
            </w:r>
          </w:p>
        </w:tc>
        <w:tc>
          <w:tcPr>
            <w:tcW w:w="885" w:type="pct"/>
            <w:tcBorders>
              <w:tl2br w:val="nil"/>
              <w:tr2bl w:val="nil"/>
            </w:tcBorders>
            <w:shd w:val="clear" w:color="auto" w:fill="auto"/>
            <w:vAlign w:val="center"/>
          </w:tcPr>
          <w:p w14:paraId="6A4A161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部门专题门户</w:t>
            </w:r>
          </w:p>
        </w:tc>
        <w:tc>
          <w:tcPr>
            <w:tcW w:w="1960" w:type="pct"/>
            <w:tcBorders>
              <w:tl2br w:val="nil"/>
              <w:tr2bl w:val="nil"/>
            </w:tcBorders>
            <w:shd w:val="clear" w:color="auto" w:fill="auto"/>
            <w:vAlign w:val="center"/>
          </w:tcPr>
          <w:p w14:paraId="633B9A4B">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汇聚展示各部门存量系统，提供一键直达的快捷访问入口；提供多种对接跳转方式，包括单点登录跳转、二次</w:t>
            </w:r>
            <w:r>
              <w:rPr>
                <w:rFonts w:hint="eastAsia" w:ascii="宋体" w:hAnsi="宋体" w:cs="宋体"/>
                <w:color w:val="000000"/>
                <w:kern w:val="2"/>
                <w:sz w:val="21"/>
                <w:szCs w:val="21"/>
                <w:lang w:val="en-US" w:eastAsia="zh-CN" w:bidi="ar-SA"/>
              </w:rPr>
              <w:t>登录</w:t>
            </w:r>
            <w:r>
              <w:rPr>
                <w:rFonts w:hint="eastAsia" w:ascii="宋体" w:hAnsi="宋体" w:eastAsia="宋体" w:cs="宋体"/>
                <w:color w:val="000000"/>
                <w:kern w:val="2"/>
                <w:sz w:val="21"/>
                <w:szCs w:val="21"/>
                <w:lang w:val="en-US" w:eastAsia="zh-CN" w:bidi="ar-SA"/>
              </w:rPr>
              <w:t>跳转。</w:t>
            </w:r>
          </w:p>
        </w:tc>
      </w:tr>
      <w:tr w14:paraId="2A94F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0DD2098F">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6</w:t>
            </w:r>
          </w:p>
        </w:tc>
        <w:tc>
          <w:tcPr>
            <w:tcW w:w="765" w:type="pct"/>
            <w:vMerge w:val="continue"/>
            <w:tcBorders>
              <w:tl2br w:val="nil"/>
              <w:tr2bl w:val="nil"/>
            </w:tcBorders>
            <w:vAlign w:val="center"/>
          </w:tcPr>
          <w:p w14:paraId="32046A77">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shd w:val="clear" w:color="auto" w:fill="auto"/>
            <w:vAlign w:val="center"/>
          </w:tcPr>
          <w:p w14:paraId="35EC7D9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p>
        </w:tc>
        <w:tc>
          <w:tcPr>
            <w:tcW w:w="885" w:type="pct"/>
            <w:tcBorders>
              <w:tl2br w:val="nil"/>
              <w:tr2bl w:val="nil"/>
            </w:tcBorders>
            <w:shd w:val="clear" w:color="auto" w:fill="auto"/>
            <w:vAlign w:val="center"/>
          </w:tcPr>
          <w:p w14:paraId="5347D73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综合专题门户</w:t>
            </w:r>
          </w:p>
        </w:tc>
        <w:tc>
          <w:tcPr>
            <w:tcW w:w="1960" w:type="pct"/>
            <w:tcBorders>
              <w:tl2br w:val="nil"/>
              <w:tr2bl w:val="nil"/>
            </w:tcBorders>
            <w:shd w:val="clear" w:color="auto" w:fill="auto"/>
            <w:vAlign w:val="center"/>
          </w:tcPr>
          <w:p w14:paraId="564DA3FD">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汇聚展示各类综合性专题服务应用，提供一键直达的快捷访问入口；提供多种对接跳转方式，包括单点登录跳转、二次</w:t>
            </w:r>
            <w:r>
              <w:rPr>
                <w:rFonts w:hint="eastAsia" w:ascii="宋体" w:hAnsi="宋体" w:cs="宋体"/>
                <w:color w:val="000000"/>
                <w:kern w:val="2"/>
                <w:sz w:val="21"/>
                <w:szCs w:val="21"/>
                <w:lang w:val="en-US" w:eastAsia="zh-CN" w:bidi="ar-SA"/>
              </w:rPr>
              <w:t>登录</w:t>
            </w:r>
            <w:r>
              <w:rPr>
                <w:rFonts w:hint="eastAsia" w:ascii="宋体" w:hAnsi="宋体" w:eastAsia="宋体" w:cs="宋体"/>
                <w:color w:val="000000"/>
                <w:kern w:val="2"/>
                <w:sz w:val="21"/>
                <w:szCs w:val="21"/>
                <w:lang w:val="en-US" w:eastAsia="zh-CN" w:bidi="ar-SA"/>
              </w:rPr>
              <w:t>跳转。</w:t>
            </w:r>
          </w:p>
        </w:tc>
      </w:tr>
      <w:tr w14:paraId="4943A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4BDC270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7</w:t>
            </w:r>
          </w:p>
        </w:tc>
        <w:tc>
          <w:tcPr>
            <w:tcW w:w="765" w:type="pct"/>
            <w:vMerge w:val="continue"/>
            <w:tcBorders>
              <w:tl2br w:val="nil"/>
              <w:tr2bl w:val="nil"/>
            </w:tcBorders>
            <w:vAlign w:val="center"/>
          </w:tcPr>
          <w:p w14:paraId="757F4CDC">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restart"/>
            <w:tcBorders>
              <w:tl2br w:val="nil"/>
              <w:tr2bl w:val="nil"/>
            </w:tcBorders>
            <w:vAlign w:val="center"/>
          </w:tcPr>
          <w:p w14:paraId="69AD05C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个人空间</w:t>
            </w:r>
          </w:p>
        </w:tc>
        <w:tc>
          <w:tcPr>
            <w:tcW w:w="885" w:type="pct"/>
            <w:tcBorders>
              <w:tl2br w:val="nil"/>
              <w:tr2bl w:val="nil"/>
            </w:tcBorders>
            <w:vAlign w:val="center"/>
          </w:tcPr>
          <w:p w14:paraId="00B8104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关注企业</w:t>
            </w:r>
          </w:p>
        </w:tc>
        <w:tc>
          <w:tcPr>
            <w:tcW w:w="1960" w:type="pct"/>
            <w:tcBorders>
              <w:tl2br w:val="nil"/>
              <w:tr2bl w:val="nil"/>
            </w:tcBorders>
            <w:vAlign w:val="center"/>
          </w:tcPr>
          <w:p w14:paraId="7E8A86A4">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为用户提供关注企业列表信息查看管理功能，提供关注企业的动态信息展示。</w:t>
            </w:r>
          </w:p>
        </w:tc>
      </w:tr>
      <w:tr w14:paraId="0B0BA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102F224C">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8</w:t>
            </w:r>
          </w:p>
        </w:tc>
        <w:tc>
          <w:tcPr>
            <w:tcW w:w="765" w:type="pct"/>
            <w:vMerge w:val="continue"/>
            <w:tcBorders>
              <w:tl2br w:val="nil"/>
              <w:tr2bl w:val="nil"/>
            </w:tcBorders>
            <w:vAlign w:val="center"/>
          </w:tcPr>
          <w:p w14:paraId="43DA103A">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6B594F5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1755CCC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站内消息</w:t>
            </w:r>
          </w:p>
        </w:tc>
        <w:tc>
          <w:tcPr>
            <w:tcW w:w="1960" w:type="pct"/>
            <w:tcBorders>
              <w:tl2br w:val="nil"/>
              <w:tr2bl w:val="nil"/>
            </w:tcBorders>
            <w:vAlign w:val="center"/>
          </w:tcPr>
          <w:p w14:paraId="14D9739C">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提供平台各类通知与提醒的接收、查看和管理服务。</w:t>
            </w:r>
          </w:p>
        </w:tc>
      </w:tr>
      <w:tr w14:paraId="5867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47BBE886">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765" w:type="pct"/>
            <w:vMerge w:val="continue"/>
            <w:tcBorders>
              <w:tl2br w:val="nil"/>
              <w:tr2bl w:val="nil"/>
            </w:tcBorders>
            <w:vAlign w:val="center"/>
          </w:tcPr>
          <w:p w14:paraId="488D4EDB">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7E9C33D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7C998B6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待办任务</w:t>
            </w:r>
          </w:p>
        </w:tc>
        <w:tc>
          <w:tcPr>
            <w:tcW w:w="1960" w:type="pct"/>
            <w:tcBorders>
              <w:tl2br w:val="nil"/>
              <w:tr2bl w:val="nil"/>
            </w:tcBorders>
            <w:vAlign w:val="center"/>
          </w:tcPr>
          <w:p w14:paraId="1396821E">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提供系统内各渠道发送的任务信息展示、搜索查询及优先级管理服务。</w:t>
            </w:r>
          </w:p>
        </w:tc>
      </w:tr>
      <w:tr w14:paraId="22866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6CD58CB4">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765" w:type="pct"/>
            <w:vMerge w:val="continue"/>
            <w:tcBorders>
              <w:tl2br w:val="nil"/>
              <w:tr2bl w:val="nil"/>
            </w:tcBorders>
            <w:vAlign w:val="center"/>
          </w:tcPr>
          <w:p w14:paraId="5DDB9EF8">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restart"/>
            <w:tcBorders>
              <w:tl2br w:val="nil"/>
              <w:tr2bl w:val="nil"/>
            </w:tcBorders>
            <w:vAlign w:val="center"/>
          </w:tcPr>
          <w:p w14:paraId="182309D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消息中心</w:t>
            </w:r>
          </w:p>
        </w:tc>
        <w:tc>
          <w:tcPr>
            <w:tcW w:w="885" w:type="pct"/>
            <w:tcBorders>
              <w:tl2br w:val="nil"/>
              <w:tr2bl w:val="nil"/>
            </w:tcBorders>
            <w:vAlign w:val="center"/>
          </w:tcPr>
          <w:p w14:paraId="395D7C3E">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消息渠道管理</w:t>
            </w:r>
          </w:p>
        </w:tc>
        <w:tc>
          <w:tcPr>
            <w:tcW w:w="1960" w:type="pct"/>
            <w:tcBorders>
              <w:tl2br w:val="nil"/>
              <w:tr2bl w:val="nil"/>
            </w:tcBorders>
            <w:vAlign w:val="center"/>
          </w:tcPr>
          <w:p w14:paraId="095D7EE4">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提供多类型消息发送渠道的综合管理服务，</w:t>
            </w:r>
            <w:r>
              <w:rPr>
                <w:rFonts w:hint="eastAsia" w:ascii="宋体" w:hAnsi="宋体" w:eastAsia="宋体" w:cs="宋体"/>
                <w:color w:val="000000"/>
                <w:sz w:val="21"/>
                <w:szCs w:val="21"/>
                <w:lang w:val="en-US" w:eastAsia="zh-CN"/>
              </w:rPr>
              <w:t>例如</w:t>
            </w:r>
            <w:r>
              <w:rPr>
                <w:rFonts w:hint="default" w:ascii="宋体" w:hAnsi="宋体" w:eastAsia="宋体" w:cs="宋体"/>
                <w:color w:val="000000"/>
                <w:sz w:val="21"/>
                <w:szCs w:val="21"/>
                <w:lang w:val="en-US" w:eastAsia="zh-CN"/>
              </w:rPr>
              <w:t>系统通知、短信通知、电子邮件通知等渠道的操作。</w:t>
            </w:r>
          </w:p>
        </w:tc>
      </w:tr>
      <w:tr w14:paraId="26C36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0816BAD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w:t>
            </w:r>
          </w:p>
        </w:tc>
        <w:tc>
          <w:tcPr>
            <w:tcW w:w="765" w:type="pct"/>
            <w:vMerge w:val="continue"/>
            <w:tcBorders>
              <w:tl2br w:val="nil"/>
              <w:tr2bl w:val="nil"/>
            </w:tcBorders>
            <w:vAlign w:val="center"/>
          </w:tcPr>
          <w:p w14:paraId="656B50C6">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0F2B264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20121D4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消息模板管理</w:t>
            </w:r>
          </w:p>
        </w:tc>
        <w:tc>
          <w:tcPr>
            <w:tcW w:w="1960" w:type="pct"/>
            <w:tcBorders>
              <w:tl2br w:val="nil"/>
              <w:tr2bl w:val="nil"/>
            </w:tcBorders>
            <w:vAlign w:val="center"/>
          </w:tcPr>
          <w:p w14:paraId="03946A34">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w:t>
            </w:r>
            <w:r>
              <w:rPr>
                <w:rFonts w:hint="default" w:ascii="宋体" w:hAnsi="宋体" w:eastAsia="宋体" w:cs="宋体"/>
                <w:color w:val="000000"/>
                <w:sz w:val="21"/>
                <w:szCs w:val="21"/>
                <w:lang w:val="en-US" w:eastAsia="zh-CN"/>
              </w:rPr>
              <w:t>一套可复用、可分组、可自动填充的消息模板库，</w:t>
            </w:r>
            <w:r>
              <w:rPr>
                <w:rFonts w:hint="eastAsia" w:ascii="宋体" w:hAnsi="宋体" w:eastAsia="宋体" w:cs="宋体"/>
                <w:color w:val="000000"/>
                <w:sz w:val="21"/>
                <w:szCs w:val="21"/>
                <w:lang w:val="en-US" w:eastAsia="zh-CN"/>
              </w:rPr>
              <w:t>用户可</w:t>
            </w:r>
            <w:r>
              <w:rPr>
                <w:rFonts w:hint="default" w:ascii="宋体" w:hAnsi="宋体" w:eastAsia="宋体" w:cs="宋体"/>
                <w:color w:val="000000"/>
                <w:sz w:val="21"/>
                <w:szCs w:val="21"/>
                <w:lang w:val="en-US" w:eastAsia="zh-CN"/>
              </w:rPr>
              <w:t>通过可视化界面即可完成模板</w:t>
            </w:r>
            <w:r>
              <w:rPr>
                <w:rFonts w:hint="eastAsia" w:ascii="宋体" w:hAnsi="宋体" w:eastAsia="宋体" w:cs="宋体"/>
                <w:color w:val="000000"/>
                <w:sz w:val="21"/>
                <w:szCs w:val="21"/>
                <w:lang w:val="en-US" w:eastAsia="zh-CN"/>
              </w:rPr>
              <w:t>的配置和管理</w:t>
            </w:r>
            <w:r>
              <w:rPr>
                <w:rFonts w:hint="default" w:ascii="宋体" w:hAnsi="宋体" w:eastAsia="宋体" w:cs="宋体"/>
                <w:color w:val="000000"/>
                <w:sz w:val="21"/>
                <w:szCs w:val="21"/>
                <w:lang w:val="en-US" w:eastAsia="zh-CN"/>
              </w:rPr>
              <w:t>。</w:t>
            </w:r>
          </w:p>
        </w:tc>
      </w:tr>
      <w:tr w14:paraId="68FBD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76758EBF">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w:t>
            </w:r>
          </w:p>
        </w:tc>
        <w:tc>
          <w:tcPr>
            <w:tcW w:w="765" w:type="pct"/>
            <w:vMerge w:val="continue"/>
            <w:tcBorders>
              <w:tl2br w:val="nil"/>
              <w:tr2bl w:val="nil"/>
            </w:tcBorders>
            <w:vAlign w:val="center"/>
          </w:tcPr>
          <w:p w14:paraId="1BFE1542">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74FF9F80">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3CBFF22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消息推送设置</w:t>
            </w:r>
          </w:p>
        </w:tc>
        <w:tc>
          <w:tcPr>
            <w:tcW w:w="1960" w:type="pct"/>
            <w:tcBorders>
              <w:tl2br w:val="nil"/>
              <w:tr2bl w:val="nil"/>
            </w:tcBorders>
            <w:vAlign w:val="center"/>
          </w:tcPr>
          <w:p w14:paraId="54C2D2D9">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提供消息推送配置功能</w:t>
            </w:r>
            <w:r>
              <w:rPr>
                <w:rFonts w:ascii="宋体" w:hAnsi="Segoe UI" w:eastAsia="宋体" w:cs="Segoe UI"/>
                <w:i w:val="0"/>
                <w:iCs w:val="0"/>
                <w:caps w:val="0"/>
                <w:spacing w:val="0"/>
                <w:sz w:val="21"/>
                <w:szCs w:val="19"/>
                <w:shd w:val="clear" w:fill="FFFFFF"/>
              </w:rPr>
              <w:t>，</w:t>
            </w:r>
            <w:r>
              <w:rPr>
                <w:rFonts w:hint="eastAsia" w:ascii="宋体" w:hAnsi="Segoe UI" w:eastAsia="宋体" w:cs="Segoe UI"/>
                <w:i w:val="0"/>
                <w:iCs w:val="0"/>
                <w:caps w:val="0"/>
                <w:spacing w:val="0"/>
                <w:sz w:val="21"/>
                <w:szCs w:val="19"/>
                <w:shd w:val="clear" w:fill="FFFFFF"/>
                <w:lang w:val="en-US" w:eastAsia="zh-CN"/>
              </w:rPr>
              <w:t>可自定义消息推送的触发条件、发送周期等。</w:t>
            </w:r>
          </w:p>
        </w:tc>
      </w:tr>
      <w:tr w14:paraId="141C0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0DB79799">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w:t>
            </w:r>
          </w:p>
        </w:tc>
        <w:tc>
          <w:tcPr>
            <w:tcW w:w="765" w:type="pct"/>
            <w:vMerge w:val="continue"/>
            <w:tcBorders>
              <w:tl2br w:val="nil"/>
              <w:tr2bl w:val="nil"/>
            </w:tcBorders>
            <w:vAlign w:val="center"/>
          </w:tcPr>
          <w:p w14:paraId="17256EBD">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3B940E0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3F82772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消息群发</w:t>
            </w:r>
          </w:p>
        </w:tc>
        <w:tc>
          <w:tcPr>
            <w:tcW w:w="1960" w:type="pct"/>
            <w:tcBorders>
              <w:tl2br w:val="nil"/>
              <w:tr2bl w:val="nil"/>
            </w:tcBorders>
            <w:vAlign w:val="center"/>
          </w:tcPr>
          <w:p w14:paraId="724000BC">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提供多样化的</w:t>
            </w:r>
            <w:r>
              <w:rPr>
                <w:rFonts w:hint="eastAsia" w:ascii="宋体" w:hAnsi="宋体" w:eastAsia="宋体" w:cs="宋体"/>
                <w:color w:val="000000"/>
                <w:sz w:val="21"/>
                <w:szCs w:val="21"/>
                <w:lang w:val="en-US" w:eastAsia="zh-CN"/>
              </w:rPr>
              <w:t>消息群发功能，支持对不同的对象、用户群组进行发送。</w:t>
            </w:r>
          </w:p>
        </w:tc>
      </w:tr>
      <w:tr w14:paraId="759C9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57D356A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14</w:t>
            </w:r>
          </w:p>
        </w:tc>
        <w:tc>
          <w:tcPr>
            <w:tcW w:w="765" w:type="pct"/>
            <w:vMerge w:val="continue"/>
            <w:tcBorders>
              <w:tl2br w:val="nil"/>
              <w:tr2bl w:val="nil"/>
            </w:tcBorders>
            <w:vAlign w:val="center"/>
          </w:tcPr>
          <w:p w14:paraId="4B6725A3">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37B7D7C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08D0B22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消息形式</w:t>
            </w:r>
          </w:p>
        </w:tc>
        <w:tc>
          <w:tcPr>
            <w:tcW w:w="1960" w:type="pct"/>
            <w:tcBorders>
              <w:tl2br w:val="nil"/>
              <w:tr2bl w:val="nil"/>
            </w:tcBorders>
            <w:vAlign w:val="center"/>
          </w:tcPr>
          <w:p w14:paraId="4CD8C3C4">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支持对接主流运营商及第三方短信服务平台并可灵活切换渠道；</w:t>
            </w:r>
            <w:r>
              <w:rPr>
                <w:rFonts w:hint="eastAsia" w:ascii="宋体" w:hAnsi="宋体" w:eastAsia="宋体" w:cs="宋体"/>
                <w:color w:val="000000"/>
                <w:sz w:val="21"/>
                <w:szCs w:val="21"/>
                <w:lang w:val="en-US" w:eastAsia="zh-CN"/>
              </w:rPr>
              <w:t>消息内容支持个性化定制</w:t>
            </w:r>
            <w:r>
              <w:rPr>
                <w:rFonts w:hint="default"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CN"/>
              </w:rPr>
              <w:t>记录消息发送状态；提供短信签名和模板管理功能，可配置使用场景和启用状态。</w:t>
            </w:r>
          </w:p>
        </w:tc>
      </w:tr>
      <w:tr w14:paraId="1A2EC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1492D383">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w:t>
            </w:r>
          </w:p>
        </w:tc>
        <w:tc>
          <w:tcPr>
            <w:tcW w:w="765" w:type="pct"/>
            <w:vMerge w:val="continue"/>
            <w:tcBorders>
              <w:tl2br w:val="nil"/>
              <w:tr2bl w:val="nil"/>
            </w:tcBorders>
            <w:vAlign w:val="center"/>
          </w:tcPr>
          <w:p w14:paraId="49D9963E">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restart"/>
            <w:tcBorders>
              <w:tl2br w:val="nil"/>
              <w:tr2bl w:val="nil"/>
            </w:tcBorders>
            <w:vAlign w:val="center"/>
          </w:tcPr>
          <w:p w14:paraId="1AEAF3D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公务人员统一认证服务</w:t>
            </w:r>
          </w:p>
        </w:tc>
        <w:tc>
          <w:tcPr>
            <w:tcW w:w="885" w:type="pct"/>
            <w:tcBorders>
              <w:tl2br w:val="nil"/>
              <w:tr2bl w:val="nil"/>
            </w:tcBorders>
            <w:vAlign w:val="center"/>
          </w:tcPr>
          <w:p w14:paraId="5DB0920F">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三方对接</w:t>
            </w:r>
          </w:p>
          <w:p w14:paraId="04C4460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对接江阴市统一身份认证平台</w:t>
            </w:r>
          </w:p>
        </w:tc>
        <w:tc>
          <w:tcPr>
            <w:tcW w:w="1960" w:type="pct"/>
            <w:tcBorders>
              <w:tl2br w:val="nil"/>
              <w:tr2bl w:val="nil"/>
            </w:tcBorders>
            <w:vAlign w:val="center"/>
          </w:tcPr>
          <w:p w14:paraId="6CBE2D4C">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实现</w:t>
            </w:r>
            <w:r>
              <w:rPr>
                <w:rFonts w:hint="eastAsia" w:ascii="宋体" w:hAnsi="宋体" w:eastAsia="宋体" w:cs="宋体"/>
                <w:color w:val="000000"/>
                <w:sz w:val="21"/>
                <w:szCs w:val="21"/>
                <w:lang w:val="en-US" w:eastAsia="zh-CN"/>
              </w:rPr>
              <w:t>各部门</w:t>
            </w:r>
            <w:r>
              <w:rPr>
                <w:rFonts w:hint="default" w:ascii="宋体" w:hAnsi="宋体" w:eastAsia="宋体" w:cs="宋体"/>
                <w:color w:val="000000"/>
                <w:sz w:val="21"/>
                <w:szCs w:val="21"/>
                <w:lang w:val="en-US" w:eastAsia="zh-CN"/>
              </w:rPr>
              <w:t>独立业务系统与江阴市统一身份认证平台的全面对接，提供单点登录、信息同步、用户管理等一体化服务，支持系统接入、配置适配、联调上线等全流程操作。</w:t>
            </w:r>
          </w:p>
        </w:tc>
      </w:tr>
      <w:tr w14:paraId="3ACB2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0F356756">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16</w:t>
            </w:r>
          </w:p>
        </w:tc>
        <w:tc>
          <w:tcPr>
            <w:tcW w:w="765" w:type="pct"/>
            <w:vMerge w:val="continue"/>
            <w:tcBorders>
              <w:tl2br w:val="nil"/>
              <w:tr2bl w:val="nil"/>
            </w:tcBorders>
            <w:vAlign w:val="center"/>
          </w:tcPr>
          <w:p w14:paraId="5F982CD8">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2D80762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4DAF60B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对接一网通办平台用户体系</w:t>
            </w:r>
          </w:p>
        </w:tc>
        <w:tc>
          <w:tcPr>
            <w:tcW w:w="1960" w:type="pct"/>
            <w:tcBorders>
              <w:tl2br w:val="nil"/>
              <w:tr2bl w:val="nil"/>
            </w:tcBorders>
            <w:vAlign w:val="center"/>
          </w:tcPr>
          <w:p w14:paraId="5BEB3FB2">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对接江阴市一网通办平台用户体系，提供单点登录接口</w:t>
            </w:r>
            <w:r>
              <w:rPr>
                <w:rFonts w:hint="eastAsia" w:ascii="宋体" w:hAnsi="宋体" w:cs="宋体"/>
                <w:color w:val="000000"/>
                <w:sz w:val="21"/>
                <w:szCs w:val="21"/>
                <w:lang w:val="en-US" w:eastAsia="zh-CN"/>
              </w:rPr>
              <w:t>对接</w:t>
            </w:r>
            <w:r>
              <w:rPr>
                <w:rFonts w:hint="default"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CN"/>
              </w:rPr>
              <w:t>支持</w:t>
            </w:r>
            <w:r>
              <w:rPr>
                <w:rFonts w:hint="default" w:ascii="宋体" w:hAnsi="宋体" w:eastAsia="宋体" w:cs="宋体"/>
                <w:color w:val="000000"/>
                <w:sz w:val="21"/>
                <w:szCs w:val="21"/>
                <w:lang w:val="en-US" w:eastAsia="zh-CN"/>
              </w:rPr>
              <w:t>其用户账号</w:t>
            </w:r>
            <w:r>
              <w:rPr>
                <w:rFonts w:hint="eastAsia" w:ascii="宋体" w:hAnsi="宋体" w:eastAsia="宋体" w:cs="宋体"/>
                <w:color w:val="000000"/>
                <w:sz w:val="21"/>
                <w:szCs w:val="21"/>
                <w:lang w:val="en-US" w:eastAsia="zh-CN"/>
              </w:rPr>
              <w:t>也</w:t>
            </w:r>
            <w:r>
              <w:rPr>
                <w:rFonts w:hint="default" w:ascii="宋体" w:hAnsi="宋体" w:eastAsia="宋体" w:cs="宋体"/>
                <w:color w:val="000000"/>
                <w:sz w:val="21"/>
                <w:szCs w:val="21"/>
                <w:lang w:val="en-US" w:eastAsia="zh-CN"/>
              </w:rPr>
              <w:t>可登录本系统</w:t>
            </w:r>
            <w:r>
              <w:rPr>
                <w:rFonts w:hint="eastAsia" w:ascii="宋体" w:hAnsi="宋体" w:eastAsia="宋体" w:cs="宋体"/>
                <w:color w:val="000000"/>
                <w:sz w:val="21"/>
                <w:szCs w:val="21"/>
                <w:lang w:val="en-US" w:eastAsia="zh-CN"/>
              </w:rPr>
              <w:t>。</w:t>
            </w:r>
          </w:p>
        </w:tc>
      </w:tr>
      <w:tr w14:paraId="0E81A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7CADE2D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17</w:t>
            </w:r>
          </w:p>
        </w:tc>
        <w:tc>
          <w:tcPr>
            <w:tcW w:w="765" w:type="pct"/>
            <w:vMerge w:val="continue"/>
            <w:tcBorders>
              <w:tl2br w:val="nil"/>
              <w:tr2bl w:val="nil"/>
            </w:tcBorders>
            <w:vAlign w:val="center"/>
          </w:tcPr>
          <w:p w14:paraId="57DE4481">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restart"/>
            <w:tcBorders>
              <w:tl2br w:val="nil"/>
              <w:tr2bl w:val="nil"/>
            </w:tcBorders>
            <w:vAlign w:val="center"/>
          </w:tcPr>
          <w:p w14:paraId="6169E31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综合管理系统</w:t>
            </w:r>
          </w:p>
        </w:tc>
        <w:tc>
          <w:tcPr>
            <w:tcW w:w="885" w:type="pct"/>
            <w:tcBorders>
              <w:tl2br w:val="nil"/>
              <w:tr2bl w:val="nil"/>
            </w:tcBorders>
            <w:vAlign w:val="center"/>
          </w:tcPr>
          <w:p w14:paraId="241AED58">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用户权限管理</w:t>
            </w:r>
          </w:p>
        </w:tc>
        <w:tc>
          <w:tcPr>
            <w:tcW w:w="1960" w:type="pct"/>
            <w:tcBorders>
              <w:tl2br w:val="nil"/>
              <w:tr2bl w:val="nil"/>
            </w:tcBorders>
            <w:vAlign w:val="center"/>
          </w:tcPr>
          <w:p w14:paraId="7E9753D0">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提供全维度、精细化的权限配置与管控服务，</w:t>
            </w:r>
            <w:r>
              <w:rPr>
                <w:rFonts w:hint="eastAsia" w:ascii="宋体" w:hAnsi="宋体" w:eastAsia="宋体" w:cs="宋体"/>
                <w:color w:val="000000"/>
                <w:sz w:val="21"/>
                <w:szCs w:val="21"/>
                <w:lang w:val="en-US" w:eastAsia="zh-CN"/>
              </w:rPr>
              <w:t>支持</w:t>
            </w:r>
            <w:r>
              <w:rPr>
                <w:rFonts w:hint="default" w:ascii="宋体" w:hAnsi="宋体" w:eastAsia="宋体" w:cs="宋体"/>
                <w:color w:val="000000"/>
                <w:sz w:val="21"/>
                <w:szCs w:val="21"/>
                <w:lang w:val="en-US" w:eastAsia="zh-CN"/>
              </w:rPr>
              <w:t>系统管理员定义不同用户角色并分配对应的系统功能访问</w:t>
            </w:r>
            <w:r>
              <w:rPr>
                <w:rFonts w:hint="eastAsia" w:ascii="宋体" w:hAnsi="宋体" w:eastAsia="宋体" w:cs="宋体"/>
                <w:color w:val="000000"/>
                <w:sz w:val="21"/>
                <w:szCs w:val="21"/>
                <w:lang w:val="en-US" w:eastAsia="zh-CN"/>
              </w:rPr>
              <w:t>。</w:t>
            </w:r>
          </w:p>
        </w:tc>
      </w:tr>
      <w:tr w14:paraId="53691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0B378AD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18</w:t>
            </w:r>
          </w:p>
        </w:tc>
        <w:tc>
          <w:tcPr>
            <w:tcW w:w="765" w:type="pct"/>
            <w:vMerge w:val="continue"/>
            <w:tcBorders>
              <w:tl2br w:val="nil"/>
              <w:tr2bl w:val="nil"/>
            </w:tcBorders>
            <w:vAlign w:val="center"/>
          </w:tcPr>
          <w:p w14:paraId="1EEA92BB">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17C737D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7A2399B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数据更新监测</w:t>
            </w:r>
          </w:p>
        </w:tc>
        <w:tc>
          <w:tcPr>
            <w:tcW w:w="1960" w:type="pct"/>
            <w:tcBorders>
              <w:tl2br w:val="nil"/>
              <w:tr2bl w:val="nil"/>
            </w:tcBorders>
            <w:vAlign w:val="center"/>
          </w:tcPr>
          <w:p w14:paraId="2A8373B0">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提供库表信息统一编目与更新状态动态监测服务，</w:t>
            </w:r>
            <w:r>
              <w:rPr>
                <w:rFonts w:hint="eastAsia" w:ascii="宋体" w:hAnsi="宋体" w:eastAsia="宋体" w:cs="宋体"/>
                <w:color w:val="000000"/>
                <w:sz w:val="21"/>
                <w:szCs w:val="21"/>
                <w:lang w:val="en-US" w:eastAsia="zh-CN"/>
              </w:rPr>
              <w:t>支持</w:t>
            </w:r>
            <w:r>
              <w:rPr>
                <w:rFonts w:hint="default" w:ascii="宋体" w:hAnsi="宋体" w:eastAsia="宋体" w:cs="宋体"/>
                <w:color w:val="000000"/>
                <w:sz w:val="21"/>
                <w:szCs w:val="21"/>
                <w:lang w:val="en-US" w:eastAsia="zh-CN"/>
              </w:rPr>
              <w:t>对一企一档企业库、经济运行分析指标等各类数据的库表信息进行编目，记录更新频率、方式及</w:t>
            </w:r>
            <w:r>
              <w:rPr>
                <w:rFonts w:hint="eastAsia" w:ascii="宋体" w:hAnsi="宋体" w:eastAsia="宋体" w:cs="宋体"/>
                <w:color w:val="000000"/>
                <w:sz w:val="21"/>
                <w:szCs w:val="21"/>
                <w:lang w:val="en-US" w:eastAsia="zh-CN"/>
              </w:rPr>
              <w:t>联络单位信息</w:t>
            </w:r>
            <w:r>
              <w:rPr>
                <w:rFonts w:hint="default"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CN"/>
              </w:rPr>
              <w:t>提供对更新不及时的库表进行监测和预警提示功能。</w:t>
            </w:r>
          </w:p>
        </w:tc>
      </w:tr>
      <w:tr w14:paraId="106C1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2686F1CB">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19</w:t>
            </w:r>
          </w:p>
        </w:tc>
        <w:tc>
          <w:tcPr>
            <w:tcW w:w="765" w:type="pct"/>
            <w:vMerge w:val="continue"/>
            <w:tcBorders>
              <w:tl2br w:val="nil"/>
              <w:tr2bl w:val="nil"/>
            </w:tcBorders>
            <w:vAlign w:val="center"/>
          </w:tcPr>
          <w:p w14:paraId="5F590013">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22AD2D08">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0B32522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数据上报周期管理</w:t>
            </w:r>
          </w:p>
        </w:tc>
        <w:tc>
          <w:tcPr>
            <w:tcW w:w="1960" w:type="pct"/>
            <w:tcBorders>
              <w:tl2br w:val="nil"/>
              <w:tr2bl w:val="nil"/>
            </w:tcBorders>
            <w:vAlign w:val="center"/>
          </w:tcPr>
          <w:p w14:paraId="09B98263">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w:t>
            </w:r>
            <w:r>
              <w:rPr>
                <w:rFonts w:hint="default" w:ascii="宋体" w:hAnsi="宋体" w:eastAsia="宋体" w:cs="宋体"/>
                <w:color w:val="000000"/>
                <w:sz w:val="21"/>
                <w:szCs w:val="21"/>
                <w:lang w:val="en-US" w:eastAsia="zh-CN"/>
              </w:rPr>
              <w:t>数据上报周期管理功能，针对需手动上报录入数据的模块，灵活设置上报</w:t>
            </w:r>
            <w:r>
              <w:rPr>
                <w:rFonts w:hint="eastAsia" w:ascii="宋体" w:hAnsi="宋体" w:eastAsia="宋体" w:cs="宋体"/>
                <w:color w:val="000000"/>
                <w:sz w:val="21"/>
                <w:szCs w:val="21"/>
                <w:lang w:val="en-US" w:eastAsia="zh-CN"/>
              </w:rPr>
              <w:t>周期</w:t>
            </w:r>
            <w:r>
              <w:rPr>
                <w:rFonts w:hint="default" w:ascii="宋体" w:hAnsi="宋体" w:eastAsia="宋体" w:cs="宋体"/>
                <w:color w:val="000000"/>
                <w:sz w:val="21"/>
                <w:szCs w:val="21"/>
                <w:lang w:val="en-US" w:eastAsia="zh-CN"/>
              </w:rPr>
              <w:t>，并</w:t>
            </w:r>
            <w:r>
              <w:rPr>
                <w:rFonts w:hint="eastAsia" w:ascii="宋体" w:hAnsi="宋体" w:eastAsia="宋体" w:cs="宋体"/>
                <w:color w:val="000000"/>
                <w:sz w:val="21"/>
                <w:szCs w:val="21"/>
                <w:lang w:val="en-US" w:eastAsia="zh-CN"/>
              </w:rPr>
              <w:t>定期</w:t>
            </w:r>
            <w:r>
              <w:rPr>
                <w:rFonts w:hint="default" w:ascii="宋体" w:hAnsi="宋体" w:eastAsia="宋体" w:cs="宋体"/>
                <w:color w:val="000000"/>
                <w:sz w:val="21"/>
                <w:szCs w:val="21"/>
                <w:lang w:val="en-US" w:eastAsia="zh-CN"/>
              </w:rPr>
              <w:t>监测数据上报状态</w:t>
            </w:r>
            <w:r>
              <w:rPr>
                <w:rFonts w:hint="eastAsia" w:ascii="宋体" w:hAnsi="宋体" w:eastAsia="宋体" w:cs="宋体"/>
                <w:color w:val="000000"/>
                <w:sz w:val="21"/>
                <w:szCs w:val="21"/>
                <w:lang w:val="en-US" w:eastAsia="zh-CN"/>
              </w:rPr>
              <w:t>，并提供预警提醒功能。</w:t>
            </w:r>
          </w:p>
        </w:tc>
      </w:tr>
      <w:tr w14:paraId="3A855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5F066A59">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w:t>
            </w:r>
          </w:p>
        </w:tc>
        <w:tc>
          <w:tcPr>
            <w:tcW w:w="765" w:type="pct"/>
            <w:vMerge w:val="continue"/>
            <w:tcBorders>
              <w:tl2br w:val="nil"/>
              <w:tr2bl w:val="nil"/>
            </w:tcBorders>
            <w:vAlign w:val="center"/>
          </w:tcPr>
          <w:p w14:paraId="31DB0C8B">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restart"/>
            <w:tcBorders>
              <w:tl2br w:val="nil"/>
              <w:tr2bl w:val="nil"/>
            </w:tcBorders>
            <w:vAlign w:val="center"/>
          </w:tcPr>
          <w:p w14:paraId="073BE50E">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系统功能</w:t>
            </w:r>
          </w:p>
        </w:tc>
        <w:tc>
          <w:tcPr>
            <w:tcW w:w="885" w:type="pct"/>
            <w:tcBorders>
              <w:tl2br w:val="nil"/>
              <w:tr2bl w:val="nil"/>
            </w:tcBorders>
            <w:vAlign w:val="center"/>
          </w:tcPr>
          <w:p w14:paraId="351DEB9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系统参数</w:t>
            </w:r>
          </w:p>
        </w:tc>
        <w:tc>
          <w:tcPr>
            <w:tcW w:w="1960" w:type="pct"/>
            <w:tcBorders>
              <w:tl2br w:val="nil"/>
              <w:tr2bl w:val="nil"/>
            </w:tcBorders>
            <w:vAlign w:val="center"/>
          </w:tcPr>
          <w:p w14:paraId="1419201C">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提供系统级全局配置集中管控服务，功能涵盖基础信息、界面展示、环境变量、状态开关等多类全局配置</w:t>
            </w:r>
            <w:r>
              <w:rPr>
                <w:rFonts w:hint="eastAsia" w:ascii="宋体" w:hAnsi="宋体" w:eastAsia="宋体" w:cs="宋体"/>
                <w:color w:val="000000"/>
                <w:sz w:val="21"/>
                <w:szCs w:val="21"/>
                <w:lang w:val="en-US" w:eastAsia="zh-CN"/>
              </w:rPr>
              <w:t>。</w:t>
            </w:r>
          </w:p>
        </w:tc>
      </w:tr>
      <w:tr w14:paraId="44AC8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43429B41">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21</w:t>
            </w:r>
          </w:p>
        </w:tc>
        <w:tc>
          <w:tcPr>
            <w:tcW w:w="765" w:type="pct"/>
            <w:vMerge w:val="continue"/>
            <w:tcBorders>
              <w:tl2br w:val="nil"/>
              <w:tr2bl w:val="nil"/>
            </w:tcBorders>
            <w:vAlign w:val="center"/>
          </w:tcPr>
          <w:p w14:paraId="5D391E5B">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3767FCE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0B0A232E">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数据字典</w:t>
            </w:r>
          </w:p>
        </w:tc>
        <w:tc>
          <w:tcPr>
            <w:tcW w:w="1960" w:type="pct"/>
            <w:tcBorders>
              <w:tl2br w:val="nil"/>
              <w:tr2bl w:val="nil"/>
            </w:tcBorders>
            <w:vAlign w:val="center"/>
          </w:tcPr>
          <w:p w14:paraId="0C7400D6">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提供层级化分类管理与精细化字典值维护的一体化服务，支持按业务领域搭建多级分类架构，</w:t>
            </w:r>
            <w:r>
              <w:rPr>
                <w:rFonts w:hint="eastAsia" w:ascii="宋体" w:hAnsi="宋体" w:eastAsia="宋体" w:cs="宋体"/>
                <w:color w:val="000000"/>
                <w:sz w:val="21"/>
                <w:szCs w:val="21"/>
                <w:lang w:val="en-US" w:eastAsia="zh-CN"/>
              </w:rPr>
              <w:t>可</w:t>
            </w:r>
            <w:r>
              <w:rPr>
                <w:rFonts w:hint="default" w:ascii="宋体" w:hAnsi="宋体" w:eastAsia="宋体" w:cs="宋体"/>
                <w:color w:val="000000"/>
                <w:sz w:val="21"/>
                <w:szCs w:val="21"/>
                <w:lang w:val="en-US" w:eastAsia="zh-CN"/>
              </w:rPr>
              <w:t>在各分类下维护字典值</w:t>
            </w:r>
            <w:r>
              <w:rPr>
                <w:rFonts w:hint="eastAsia" w:ascii="宋体" w:hAnsi="宋体" w:eastAsia="宋体" w:cs="宋体"/>
                <w:color w:val="000000"/>
                <w:sz w:val="21"/>
                <w:szCs w:val="21"/>
                <w:lang w:val="en-US" w:eastAsia="zh-CN"/>
              </w:rPr>
              <w:t>。</w:t>
            </w:r>
          </w:p>
        </w:tc>
      </w:tr>
      <w:tr w14:paraId="34262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777FF205">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22</w:t>
            </w:r>
          </w:p>
        </w:tc>
        <w:tc>
          <w:tcPr>
            <w:tcW w:w="765" w:type="pct"/>
            <w:vMerge w:val="continue"/>
            <w:tcBorders>
              <w:tl2br w:val="nil"/>
              <w:tr2bl w:val="nil"/>
            </w:tcBorders>
            <w:vAlign w:val="center"/>
          </w:tcPr>
          <w:p w14:paraId="2DDDF5C6">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252BB564">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263B77E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文件管理</w:t>
            </w:r>
          </w:p>
        </w:tc>
        <w:tc>
          <w:tcPr>
            <w:tcW w:w="1960" w:type="pct"/>
            <w:tcBorders>
              <w:tl2br w:val="nil"/>
              <w:tr2bl w:val="nil"/>
            </w:tcBorders>
            <w:vAlign w:val="center"/>
          </w:tcPr>
          <w:p w14:paraId="4D3D345D">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提供文件全生命周期基础操作服务，</w:t>
            </w:r>
            <w:r>
              <w:rPr>
                <w:rFonts w:hint="eastAsia" w:ascii="宋体" w:hAnsi="宋体" w:eastAsia="宋体" w:cs="宋体"/>
                <w:color w:val="000000"/>
                <w:sz w:val="21"/>
                <w:szCs w:val="21"/>
                <w:lang w:val="en-US" w:eastAsia="zh-CN"/>
              </w:rPr>
              <w:t>支持</w:t>
            </w:r>
            <w:r>
              <w:rPr>
                <w:rFonts w:hint="default" w:ascii="宋体" w:hAnsi="宋体" w:eastAsia="宋体" w:cs="宋体"/>
                <w:color w:val="000000"/>
                <w:sz w:val="21"/>
                <w:szCs w:val="21"/>
                <w:lang w:val="en-US" w:eastAsia="zh-CN"/>
              </w:rPr>
              <w:t>用户快速搜索所需文件，同时支持文件的上传、在线预览</w:t>
            </w:r>
            <w:r>
              <w:rPr>
                <w:rFonts w:hint="eastAsia" w:ascii="宋体" w:hAnsi="宋体" w:eastAsia="宋体" w:cs="宋体"/>
                <w:color w:val="000000"/>
                <w:sz w:val="21"/>
                <w:szCs w:val="21"/>
                <w:lang w:val="en-US" w:eastAsia="zh-CN"/>
              </w:rPr>
              <w:t>、</w:t>
            </w:r>
            <w:r>
              <w:rPr>
                <w:rFonts w:hint="default" w:ascii="宋体" w:hAnsi="宋体" w:eastAsia="宋体" w:cs="宋体"/>
                <w:color w:val="000000"/>
                <w:sz w:val="21"/>
                <w:szCs w:val="21"/>
                <w:lang w:val="en-US" w:eastAsia="zh-CN"/>
              </w:rPr>
              <w:t>下载</w:t>
            </w:r>
            <w:r>
              <w:rPr>
                <w:rFonts w:hint="eastAsia" w:ascii="宋体" w:hAnsi="宋体" w:eastAsia="宋体" w:cs="宋体"/>
                <w:color w:val="000000"/>
                <w:sz w:val="21"/>
                <w:szCs w:val="21"/>
                <w:lang w:val="en-US" w:eastAsia="zh-CN"/>
              </w:rPr>
              <w:t>、删除等操作。</w:t>
            </w:r>
          </w:p>
        </w:tc>
      </w:tr>
      <w:tr w14:paraId="75C5B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01DC35CA">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23</w:t>
            </w:r>
          </w:p>
        </w:tc>
        <w:tc>
          <w:tcPr>
            <w:tcW w:w="765" w:type="pct"/>
            <w:vMerge w:val="continue"/>
            <w:tcBorders>
              <w:tl2br w:val="nil"/>
              <w:tr2bl w:val="nil"/>
            </w:tcBorders>
            <w:vAlign w:val="center"/>
          </w:tcPr>
          <w:p w14:paraId="4B5B0583">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5AD464A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0F0A2C0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任务调度</w:t>
            </w:r>
          </w:p>
        </w:tc>
        <w:tc>
          <w:tcPr>
            <w:tcW w:w="1960" w:type="pct"/>
            <w:tcBorders>
              <w:tl2br w:val="nil"/>
              <w:tr2bl w:val="nil"/>
            </w:tcBorders>
            <w:vAlign w:val="center"/>
          </w:tcPr>
          <w:p w14:paraId="2D275796">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提供定时任务全流程管理服务，</w:t>
            </w:r>
            <w:r>
              <w:rPr>
                <w:rFonts w:hint="eastAsia" w:ascii="宋体" w:hAnsi="宋体" w:eastAsia="宋体" w:cs="宋体"/>
                <w:color w:val="000000"/>
                <w:sz w:val="21"/>
                <w:szCs w:val="21"/>
                <w:lang w:val="en-US" w:eastAsia="zh-CN"/>
              </w:rPr>
              <w:t>支持根据业务需要创建可定时执行的任务计划，支持</w:t>
            </w:r>
            <w:r>
              <w:rPr>
                <w:rFonts w:hint="default" w:ascii="宋体" w:hAnsi="宋体" w:eastAsia="宋体" w:cs="宋体"/>
                <w:color w:val="000000"/>
                <w:sz w:val="21"/>
                <w:szCs w:val="21"/>
                <w:lang w:val="en-US" w:eastAsia="zh-CN"/>
              </w:rPr>
              <w:t>对任务执行状态进行监控。</w:t>
            </w:r>
          </w:p>
        </w:tc>
      </w:tr>
      <w:tr w14:paraId="2941E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5B727A96">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24</w:t>
            </w:r>
          </w:p>
        </w:tc>
        <w:tc>
          <w:tcPr>
            <w:tcW w:w="765" w:type="pct"/>
            <w:vMerge w:val="continue"/>
            <w:tcBorders>
              <w:tl2br w:val="nil"/>
              <w:tr2bl w:val="nil"/>
            </w:tcBorders>
            <w:vAlign w:val="center"/>
          </w:tcPr>
          <w:p w14:paraId="728D1335">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23E0B26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5BDBD71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登录日志</w:t>
            </w:r>
          </w:p>
        </w:tc>
        <w:tc>
          <w:tcPr>
            <w:tcW w:w="1960" w:type="pct"/>
            <w:tcBorders>
              <w:tl2br w:val="nil"/>
              <w:tr2bl w:val="nil"/>
            </w:tcBorders>
            <w:vAlign w:val="center"/>
          </w:tcPr>
          <w:p w14:paraId="251F151E">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提供全面的登录行为记录与灵活的日志检索服务，</w:t>
            </w:r>
            <w:r>
              <w:rPr>
                <w:rFonts w:hint="eastAsia" w:ascii="宋体" w:hAnsi="宋体" w:eastAsia="宋体" w:cs="宋体"/>
                <w:color w:val="000000"/>
                <w:sz w:val="21"/>
                <w:szCs w:val="21"/>
                <w:lang w:val="en-US" w:eastAsia="zh-CN"/>
              </w:rPr>
              <w:t>支持</w:t>
            </w:r>
            <w:r>
              <w:rPr>
                <w:rFonts w:hint="default" w:ascii="宋体" w:hAnsi="宋体" w:eastAsia="宋体" w:cs="宋体"/>
                <w:color w:val="000000"/>
                <w:sz w:val="21"/>
                <w:szCs w:val="21"/>
                <w:lang w:val="en-US" w:eastAsia="zh-CN"/>
              </w:rPr>
              <w:t>自动记录用户登录的基础信息、登录核心数据</w:t>
            </w:r>
            <w:r>
              <w:rPr>
                <w:rFonts w:hint="eastAsia" w:ascii="宋体" w:hAnsi="宋体" w:eastAsia="宋体" w:cs="宋体"/>
                <w:color w:val="000000"/>
                <w:sz w:val="21"/>
                <w:szCs w:val="21"/>
                <w:lang w:val="en-US" w:eastAsia="zh-CN"/>
              </w:rPr>
              <w:t>等</w:t>
            </w:r>
            <w:r>
              <w:rPr>
                <w:rFonts w:hint="default" w:ascii="宋体" w:hAnsi="宋体" w:eastAsia="宋体" w:cs="宋体"/>
                <w:color w:val="000000"/>
                <w:sz w:val="21"/>
                <w:szCs w:val="21"/>
                <w:lang w:val="en-US" w:eastAsia="zh-CN"/>
              </w:rPr>
              <w:t>，形成完整日志条目，便于定位登录主体及分析异常行为</w:t>
            </w:r>
            <w:r>
              <w:rPr>
                <w:rFonts w:hint="eastAsia" w:ascii="宋体" w:hAnsi="宋体" w:eastAsia="宋体" w:cs="宋体"/>
                <w:color w:val="000000"/>
                <w:sz w:val="21"/>
                <w:szCs w:val="21"/>
                <w:lang w:val="en-US" w:eastAsia="zh-CN"/>
              </w:rPr>
              <w:t>。</w:t>
            </w:r>
          </w:p>
        </w:tc>
      </w:tr>
      <w:tr w14:paraId="3532A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407C815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25</w:t>
            </w:r>
          </w:p>
        </w:tc>
        <w:tc>
          <w:tcPr>
            <w:tcW w:w="765" w:type="pct"/>
            <w:vMerge w:val="continue"/>
            <w:tcBorders>
              <w:tl2br w:val="nil"/>
              <w:tr2bl w:val="nil"/>
            </w:tcBorders>
            <w:vAlign w:val="center"/>
          </w:tcPr>
          <w:p w14:paraId="4B06B11D">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65A3151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0DFF816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操作日志</w:t>
            </w:r>
          </w:p>
        </w:tc>
        <w:tc>
          <w:tcPr>
            <w:tcW w:w="1960" w:type="pct"/>
            <w:tcBorders>
              <w:tl2br w:val="nil"/>
              <w:tr2bl w:val="nil"/>
            </w:tcBorders>
            <w:vAlign w:val="center"/>
          </w:tcPr>
          <w:p w14:paraId="05684F58">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提供全面的操作行为记录、多维度追踪溯源及权限审计服务，</w:t>
            </w:r>
            <w:r>
              <w:rPr>
                <w:rFonts w:hint="eastAsia" w:ascii="宋体" w:hAnsi="宋体" w:eastAsia="宋体" w:cs="宋体"/>
                <w:color w:val="000000"/>
                <w:sz w:val="21"/>
                <w:szCs w:val="21"/>
                <w:lang w:val="en-US" w:eastAsia="zh-CN"/>
              </w:rPr>
              <w:t>支持</w:t>
            </w:r>
            <w:r>
              <w:rPr>
                <w:rFonts w:hint="default" w:ascii="宋体" w:hAnsi="宋体" w:eastAsia="宋体" w:cs="宋体"/>
                <w:color w:val="000000"/>
                <w:sz w:val="21"/>
                <w:szCs w:val="21"/>
                <w:lang w:val="en-US" w:eastAsia="zh-CN"/>
              </w:rPr>
              <w:t>实时记录用户操作的主体信息、核心信息，形成详细日志条目</w:t>
            </w:r>
            <w:r>
              <w:rPr>
                <w:rFonts w:hint="eastAsia" w:ascii="宋体" w:hAnsi="宋体" w:eastAsia="宋体" w:cs="宋体"/>
                <w:color w:val="000000"/>
                <w:sz w:val="21"/>
                <w:szCs w:val="21"/>
                <w:lang w:val="en-US" w:eastAsia="zh-CN"/>
              </w:rPr>
              <w:t>。</w:t>
            </w:r>
          </w:p>
        </w:tc>
      </w:tr>
      <w:tr w14:paraId="0D897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8" w:type="pct"/>
            <w:tcBorders>
              <w:tl2br w:val="nil"/>
              <w:tr2bl w:val="nil"/>
            </w:tcBorders>
            <w:vAlign w:val="center"/>
          </w:tcPr>
          <w:p w14:paraId="0FA50D23">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26</w:t>
            </w:r>
          </w:p>
        </w:tc>
        <w:tc>
          <w:tcPr>
            <w:tcW w:w="765" w:type="pct"/>
            <w:vMerge w:val="continue"/>
            <w:tcBorders>
              <w:tl2br w:val="nil"/>
              <w:tr2bl w:val="nil"/>
            </w:tcBorders>
            <w:vAlign w:val="center"/>
          </w:tcPr>
          <w:p w14:paraId="3F8EFC4A">
            <w:pPr>
              <w:widowControl/>
              <w:snapToGrid w:val="0"/>
              <w:spacing w:line="240" w:lineRule="auto"/>
              <w:ind w:left="0" w:leftChars="0" w:right="0" w:rightChars="0" w:firstLine="0" w:firstLineChars="0"/>
              <w:jc w:val="center"/>
              <w:rPr>
                <w:rFonts w:ascii="宋体" w:hAnsi="宋体" w:eastAsia="宋体" w:cs="宋体"/>
                <w:color w:val="000000"/>
                <w:sz w:val="21"/>
                <w:szCs w:val="21"/>
              </w:rPr>
            </w:pPr>
          </w:p>
        </w:tc>
        <w:tc>
          <w:tcPr>
            <w:tcW w:w="940" w:type="pct"/>
            <w:vMerge w:val="continue"/>
            <w:tcBorders>
              <w:tl2br w:val="nil"/>
              <w:tr2bl w:val="nil"/>
            </w:tcBorders>
            <w:vAlign w:val="center"/>
          </w:tcPr>
          <w:p w14:paraId="4A6FAD8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p>
        </w:tc>
        <w:tc>
          <w:tcPr>
            <w:tcW w:w="885" w:type="pct"/>
            <w:tcBorders>
              <w:tl2br w:val="nil"/>
              <w:tr2bl w:val="nil"/>
            </w:tcBorders>
            <w:vAlign w:val="center"/>
          </w:tcPr>
          <w:p w14:paraId="0F9811A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接口日志</w:t>
            </w:r>
          </w:p>
        </w:tc>
        <w:tc>
          <w:tcPr>
            <w:tcW w:w="1960" w:type="pct"/>
            <w:tcBorders>
              <w:tl2br w:val="nil"/>
              <w:tr2bl w:val="nil"/>
            </w:tcBorders>
            <w:vAlign w:val="center"/>
          </w:tcPr>
          <w:p w14:paraId="1079EF55">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提供接口全生命周期监控、异常分析及调用管理一体化服务，</w:t>
            </w:r>
            <w:r>
              <w:rPr>
                <w:rFonts w:hint="eastAsia" w:ascii="宋体" w:hAnsi="宋体" w:eastAsia="宋体" w:cs="宋体"/>
                <w:color w:val="000000"/>
                <w:sz w:val="21"/>
                <w:szCs w:val="21"/>
                <w:lang w:val="en-US" w:eastAsia="zh-CN"/>
              </w:rPr>
              <w:t>支持</w:t>
            </w:r>
            <w:r>
              <w:rPr>
                <w:rFonts w:hint="default" w:ascii="宋体" w:hAnsi="宋体" w:eastAsia="宋体" w:cs="宋体"/>
                <w:color w:val="000000"/>
                <w:sz w:val="21"/>
                <w:szCs w:val="21"/>
                <w:lang w:val="en-US" w:eastAsia="zh-CN"/>
              </w:rPr>
              <w:t>全面记录所有接口的调用时间、请求参数等关键信息，以列表形式展示并支持按接口名称、时间范围等条件筛选查询</w:t>
            </w:r>
            <w:r>
              <w:rPr>
                <w:rFonts w:hint="eastAsia" w:ascii="宋体" w:hAnsi="宋体" w:eastAsia="宋体" w:cs="宋体"/>
                <w:color w:val="000000"/>
                <w:sz w:val="21"/>
                <w:szCs w:val="21"/>
                <w:lang w:val="en-US" w:eastAsia="zh-CN"/>
              </w:rPr>
              <w:t>。</w:t>
            </w:r>
          </w:p>
        </w:tc>
      </w:tr>
    </w:tbl>
    <w:p w14:paraId="41743225">
      <w:pPr>
        <w:bidi w:val="0"/>
        <w:rPr>
          <w:rFonts w:hint="eastAsia"/>
        </w:rPr>
      </w:pPr>
    </w:p>
    <w:p w14:paraId="0C709C95">
      <w:pPr>
        <w:pStyle w:val="4"/>
        <w:numPr>
          <w:ilvl w:val="0"/>
          <w:numId w:val="0"/>
        </w:numPr>
        <w:spacing w:line="400" w:lineRule="exact"/>
        <w:ind w:left="567"/>
        <w:rPr>
          <w:rFonts w:hint="default"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rPr>
        <w:t>3.1.2</w:t>
      </w:r>
      <w:r>
        <w:rPr>
          <w:rFonts w:hint="eastAsia" w:cs="黑体" w:asciiTheme="minorEastAsia" w:hAnsiTheme="minorEastAsia" w:eastAsiaTheme="minorEastAsia"/>
          <w:sz w:val="24"/>
          <w:szCs w:val="24"/>
          <w:lang w:val="en-US" w:eastAsia="zh-CN"/>
        </w:rPr>
        <w:t>工作管理中心建设</w:t>
      </w:r>
    </w:p>
    <w:tbl>
      <w:tblPr>
        <w:tblStyle w:val="14"/>
        <w:tblW w:w="4998" w:type="pct"/>
        <w:jc w:val="center"/>
        <w:tblLayout w:type="autofit"/>
        <w:tblCellMar>
          <w:top w:w="0" w:type="dxa"/>
          <w:left w:w="108" w:type="dxa"/>
          <w:bottom w:w="0" w:type="dxa"/>
          <w:right w:w="108" w:type="dxa"/>
        </w:tblCellMar>
      </w:tblPr>
      <w:tblGrid>
        <w:gridCol w:w="638"/>
        <w:gridCol w:w="1896"/>
        <w:gridCol w:w="1586"/>
        <w:gridCol w:w="1389"/>
        <w:gridCol w:w="3010"/>
      </w:tblGrid>
      <w:tr w14:paraId="43322FE9">
        <w:tblPrEx>
          <w:tblCellMar>
            <w:top w:w="0" w:type="dxa"/>
            <w:left w:w="108" w:type="dxa"/>
            <w:bottom w:w="0" w:type="dxa"/>
            <w:right w:w="108" w:type="dxa"/>
          </w:tblCellMar>
        </w:tblPrEx>
        <w:trPr>
          <w:trHeight w:val="0" w:hRule="atLeast"/>
          <w:tblHeader/>
          <w:jc w:val="center"/>
        </w:trPr>
        <w:tc>
          <w:tcPr>
            <w:tcW w:w="355" w:type="pct"/>
            <w:tcBorders>
              <w:top w:val="single" w:color="000000" w:sz="4" w:space="0"/>
              <w:left w:val="single" w:color="000000" w:sz="4" w:space="0"/>
              <w:bottom w:val="single" w:color="000000" w:sz="4" w:space="0"/>
              <w:right w:val="single" w:color="000000" w:sz="4" w:space="0"/>
            </w:tcBorders>
            <w:noWrap/>
            <w:vAlign w:val="center"/>
          </w:tcPr>
          <w:p w14:paraId="7A38B001">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序号</w:t>
            </w:r>
          </w:p>
        </w:tc>
        <w:tc>
          <w:tcPr>
            <w:tcW w:w="1056" w:type="pct"/>
            <w:tcBorders>
              <w:top w:val="single" w:color="000000" w:sz="4" w:space="0"/>
              <w:left w:val="single" w:color="000000" w:sz="4" w:space="0"/>
              <w:bottom w:val="single" w:color="auto" w:sz="4" w:space="0"/>
              <w:right w:val="single" w:color="000000" w:sz="4" w:space="0"/>
            </w:tcBorders>
            <w:vAlign w:val="center"/>
          </w:tcPr>
          <w:p w14:paraId="51471FFE">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分项名称</w:t>
            </w:r>
          </w:p>
        </w:tc>
        <w:tc>
          <w:tcPr>
            <w:tcW w:w="956" w:type="pct"/>
            <w:tcBorders>
              <w:top w:val="single" w:color="000000" w:sz="4" w:space="0"/>
              <w:left w:val="single" w:color="000000" w:sz="4" w:space="0"/>
              <w:bottom w:val="single" w:color="auto" w:sz="4" w:space="0"/>
              <w:right w:val="single" w:color="000000" w:sz="4" w:space="0"/>
            </w:tcBorders>
            <w:vAlign w:val="center"/>
          </w:tcPr>
          <w:p w14:paraId="5649221C">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模块名称</w:t>
            </w:r>
          </w:p>
        </w:tc>
        <w:tc>
          <w:tcPr>
            <w:tcW w:w="840" w:type="pct"/>
            <w:tcBorders>
              <w:top w:val="single" w:color="000000" w:sz="4" w:space="0"/>
              <w:left w:val="single" w:color="000000" w:sz="4" w:space="0"/>
              <w:bottom w:val="single" w:color="auto" w:sz="4" w:space="0"/>
              <w:right w:val="single" w:color="000000" w:sz="4" w:space="0"/>
            </w:tcBorders>
            <w:vAlign w:val="center"/>
          </w:tcPr>
          <w:p w14:paraId="00A2457E">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子功能名称</w:t>
            </w:r>
          </w:p>
        </w:tc>
        <w:tc>
          <w:tcPr>
            <w:tcW w:w="1791" w:type="pct"/>
            <w:tcBorders>
              <w:top w:val="single" w:color="000000" w:sz="4" w:space="0"/>
              <w:left w:val="single" w:color="000000" w:sz="4" w:space="0"/>
              <w:bottom w:val="single" w:color="auto" w:sz="4" w:space="0"/>
              <w:right w:val="single" w:color="000000" w:sz="4" w:space="0"/>
            </w:tcBorders>
            <w:vAlign w:val="center"/>
          </w:tcPr>
          <w:p w14:paraId="1D5519BB">
            <w:pPr>
              <w:widowControl/>
              <w:snapToGrid w:val="0"/>
              <w:spacing w:line="240" w:lineRule="auto"/>
              <w:ind w:left="0" w:leftChars="0" w:right="0" w:rightChars="0" w:firstLine="0" w:firstLineChars="0"/>
              <w:jc w:val="center"/>
              <w:textAlignment w:val="center"/>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功能要求</w:t>
            </w:r>
          </w:p>
        </w:tc>
      </w:tr>
      <w:tr w14:paraId="3E9F8AC6">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5409CCDD">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1056" w:type="pct"/>
            <w:vMerge w:val="restart"/>
            <w:tcBorders>
              <w:top w:val="single" w:color="auto" w:sz="4" w:space="0"/>
              <w:left w:val="single" w:color="auto" w:sz="4" w:space="0"/>
              <w:bottom w:val="single" w:color="auto" w:sz="4" w:space="0"/>
              <w:right w:val="single" w:color="auto" w:sz="4" w:space="0"/>
            </w:tcBorders>
            <w:noWrap/>
            <w:vAlign w:val="center"/>
          </w:tcPr>
          <w:p w14:paraId="757E1CF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工作管理中心建设</w:t>
            </w:r>
          </w:p>
        </w:tc>
        <w:tc>
          <w:tcPr>
            <w:tcW w:w="956" w:type="pct"/>
            <w:vMerge w:val="restart"/>
            <w:tcBorders>
              <w:top w:val="single" w:color="auto" w:sz="4" w:space="0"/>
              <w:left w:val="single" w:color="auto" w:sz="4" w:space="0"/>
              <w:bottom w:val="single" w:color="auto" w:sz="4" w:space="0"/>
              <w:right w:val="single" w:color="auto" w:sz="4" w:space="0"/>
            </w:tcBorders>
            <w:vAlign w:val="center"/>
          </w:tcPr>
          <w:p w14:paraId="63F3F22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企业标签库管理</w:t>
            </w:r>
          </w:p>
        </w:tc>
        <w:tc>
          <w:tcPr>
            <w:tcW w:w="840" w:type="pct"/>
            <w:tcBorders>
              <w:top w:val="single" w:color="auto" w:sz="4" w:space="0"/>
              <w:left w:val="single" w:color="auto" w:sz="4" w:space="0"/>
              <w:bottom w:val="single" w:color="auto" w:sz="4" w:space="0"/>
              <w:right w:val="single" w:color="auto" w:sz="4" w:space="0"/>
            </w:tcBorders>
            <w:vAlign w:val="center"/>
          </w:tcPr>
          <w:p w14:paraId="4CAB6BD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标签库管理模块</w:t>
            </w:r>
          </w:p>
        </w:tc>
        <w:tc>
          <w:tcPr>
            <w:tcW w:w="1791" w:type="pct"/>
            <w:tcBorders>
              <w:top w:val="single" w:color="auto" w:sz="4" w:space="0"/>
              <w:left w:val="single" w:color="auto" w:sz="4" w:space="0"/>
              <w:bottom w:val="single" w:color="auto" w:sz="4" w:space="0"/>
              <w:right w:val="single" w:color="auto" w:sz="4" w:space="0"/>
            </w:tcBorders>
            <w:vAlign w:val="center"/>
          </w:tcPr>
          <w:p w14:paraId="7B549617">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提供标签全生命周期管控与多维度分类运营服务，</w:t>
            </w:r>
            <w:r>
              <w:rPr>
                <w:rFonts w:hint="eastAsia" w:ascii="宋体" w:hAnsi="宋体" w:cs="宋体"/>
                <w:color w:val="000000"/>
                <w:sz w:val="21"/>
                <w:szCs w:val="21"/>
                <w:lang w:val="en-US" w:eastAsia="zh-CN"/>
              </w:rPr>
              <w:t>支持</w:t>
            </w:r>
            <w:r>
              <w:rPr>
                <w:rFonts w:hint="eastAsia" w:ascii="宋体" w:hAnsi="宋体" w:cs="宋体"/>
                <w:color w:val="000000"/>
                <w:sz w:val="21"/>
                <w:szCs w:val="21"/>
              </w:rPr>
              <w:t>标签创建、查询、更新、删除等管理</w:t>
            </w:r>
            <w:r>
              <w:rPr>
                <w:rFonts w:hint="eastAsia" w:ascii="宋体" w:hAnsi="宋体" w:cs="宋体"/>
                <w:color w:val="000000"/>
                <w:sz w:val="21"/>
                <w:szCs w:val="21"/>
                <w:lang w:eastAsia="zh-CN"/>
              </w:rPr>
              <w:t>。</w:t>
            </w:r>
          </w:p>
        </w:tc>
      </w:tr>
      <w:tr w14:paraId="3B7C4257">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4B6D1DD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2</w:t>
            </w:r>
          </w:p>
        </w:tc>
        <w:tc>
          <w:tcPr>
            <w:tcW w:w="1056" w:type="pct"/>
            <w:vMerge w:val="continue"/>
            <w:tcBorders>
              <w:top w:val="single" w:color="auto" w:sz="4" w:space="0"/>
              <w:left w:val="single" w:color="auto" w:sz="4" w:space="0"/>
              <w:bottom w:val="single" w:color="auto" w:sz="4" w:space="0"/>
              <w:right w:val="single" w:color="auto" w:sz="4" w:space="0"/>
            </w:tcBorders>
            <w:noWrap/>
            <w:vAlign w:val="center"/>
          </w:tcPr>
          <w:p w14:paraId="5CB9F2E6">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top w:val="single" w:color="auto" w:sz="4" w:space="0"/>
              <w:left w:val="single" w:color="auto" w:sz="4" w:space="0"/>
              <w:bottom w:val="single" w:color="auto" w:sz="4" w:space="0"/>
              <w:right w:val="single" w:color="auto" w:sz="4" w:space="0"/>
            </w:tcBorders>
            <w:vAlign w:val="center"/>
          </w:tcPr>
          <w:p w14:paraId="50C8937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auto" w:sz="4" w:space="0"/>
              <w:left w:val="single" w:color="auto" w:sz="4" w:space="0"/>
              <w:bottom w:val="single" w:color="auto" w:sz="4" w:space="0"/>
              <w:right w:val="single" w:color="auto" w:sz="4" w:space="0"/>
            </w:tcBorders>
            <w:vAlign w:val="center"/>
          </w:tcPr>
          <w:p w14:paraId="1085B82F">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标签添加企业功能</w:t>
            </w:r>
          </w:p>
        </w:tc>
        <w:tc>
          <w:tcPr>
            <w:tcW w:w="1791" w:type="pct"/>
            <w:tcBorders>
              <w:top w:val="single" w:color="auto" w:sz="4" w:space="0"/>
              <w:left w:val="single" w:color="auto" w:sz="4" w:space="0"/>
              <w:bottom w:val="single" w:color="auto" w:sz="4" w:space="0"/>
              <w:right w:val="single" w:color="auto" w:sz="4" w:space="0"/>
            </w:tcBorders>
            <w:vAlign w:val="center"/>
          </w:tcPr>
          <w:p w14:paraId="6F99DF89">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提供企业与标签的可视化绑定管理服务，</w:t>
            </w:r>
            <w:r>
              <w:rPr>
                <w:rFonts w:hint="eastAsia" w:ascii="宋体" w:hAnsi="宋体" w:cs="宋体"/>
                <w:color w:val="000000"/>
                <w:sz w:val="21"/>
                <w:szCs w:val="21"/>
                <w:lang w:val="en-US" w:eastAsia="zh-CN"/>
              </w:rPr>
              <w:t>支持</w:t>
            </w:r>
            <w:r>
              <w:rPr>
                <w:rFonts w:hint="eastAsia" w:ascii="宋体" w:hAnsi="宋体" w:cs="宋体"/>
                <w:color w:val="000000"/>
                <w:sz w:val="21"/>
                <w:szCs w:val="21"/>
              </w:rPr>
              <w:t>企业标签配置</w:t>
            </w:r>
            <w:r>
              <w:rPr>
                <w:rFonts w:hint="eastAsia" w:ascii="宋体" w:hAnsi="宋体" w:cs="宋体"/>
                <w:color w:val="000000"/>
                <w:sz w:val="21"/>
                <w:szCs w:val="21"/>
                <w:lang w:eastAsia="zh-CN"/>
              </w:rPr>
              <w:t>、</w:t>
            </w:r>
            <w:r>
              <w:rPr>
                <w:rFonts w:hint="eastAsia" w:ascii="宋体" w:hAnsi="宋体" w:cs="宋体"/>
                <w:color w:val="000000"/>
                <w:sz w:val="21"/>
                <w:szCs w:val="21"/>
              </w:rPr>
              <w:t>绑定及解绑操作</w:t>
            </w:r>
            <w:r>
              <w:rPr>
                <w:rFonts w:hint="eastAsia" w:ascii="宋体" w:hAnsi="宋体" w:cs="宋体"/>
                <w:color w:val="000000"/>
                <w:sz w:val="21"/>
                <w:szCs w:val="21"/>
                <w:lang w:eastAsia="zh-CN"/>
              </w:rPr>
              <w:t>。</w:t>
            </w:r>
          </w:p>
        </w:tc>
      </w:tr>
      <w:tr w14:paraId="3184EA26">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71C1A8A5">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p>
        </w:tc>
        <w:tc>
          <w:tcPr>
            <w:tcW w:w="1056" w:type="pct"/>
            <w:vMerge w:val="continue"/>
            <w:tcBorders>
              <w:top w:val="single" w:color="auto" w:sz="4" w:space="0"/>
              <w:left w:val="single" w:color="auto" w:sz="4" w:space="0"/>
              <w:bottom w:val="single" w:color="auto" w:sz="4" w:space="0"/>
              <w:right w:val="single" w:color="auto" w:sz="4" w:space="0"/>
            </w:tcBorders>
            <w:noWrap/>
            <w:vAlign w:val="center"/>
          </w:tcPr>
          <w:p w14:paraId="54D1A7AD">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top w:val="single" w:color="auto" w:sz="4" w:space="0"/>
              <w:left w:val="single" w:color="auto" w:sz="4" w:space="0"/>
              <w:bottom w:val="single" w:color="auto" w:sz="4" w:space="0"/>
              <w:right w:val="single" w:color="auto" w:sz="4" w:space="0"/>
            </w:tcBorders>
            <w:vAlign w:val="center"/>
          </w:tcPr>
          <w:p w14:paraId="650154C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auto" w:sz="4" w:space="0"/>
              <w:left w:val="single" w:color="auto" w:sz="4" w:space="0"/>
              <w:bottom w:val="single" w:color="auto" w:sz="4" w:space="0"/>
              <w:right w:val="single" w:color="auto" w:sz="4" w:space="0"/>
            </w:tcBorders>
            <w:vAlign w:val="center"/>
          </w:tcPr>
          <w:p w14:paraId="7BB5625D">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批量导入</w:t>
            </w:r>
            <w:r>
              <w:rPr>
                <w:rFonts w:hint="eastAsia" w:ascii="宋体" w:hAnsi="宋体" w:cs="宋体"/>
                <w:color w:val="000000"/>
                <w:sz w:val="21"/>
                <w:szCs w:val="21"/>
                <w:lang w:val="en-US" w:eastAsia="zh-CN"/>
              </w:rPr>
              <w:t>企业</w:t>
            </w:r>
            <w:r>
              <w:rPr>
                <w:rFonts w:hint="eastAsia" w:ascii="宋体" w:hAnsi="宋体" w:cs="宋体"/>
                <w:color w:val="000000"/>
                <w:sz w:val="21"/>
                <w:szCs w:val="21"/>
              </w:rPr>
              <w:t>功能</w:t>
            </w:r>
          </w:p>
        </w:tc>
        <w:tc>
          <w:tcPr>
            <w:tcW w:w="1791" w:type="pct"/>
            <w:tcBorders>
              <w:top w:val="single" w:color="auto" w:sz="4" w:space="0"/>
              <w:left w:val="single" w:color="auto" w:sz="4" w:space="0"/>
              <w:bottom w:val="single" w:color="auto" w:sz="4" w:space="0"/>
              <w:right w:val="single" w:color="auto" w:sz="4" w:space="0"/>
            </w:tcBorders>
            <w:vAlign w:val="center"/>
          </w:tcPr>
          <w:p w14:paraId="714ED402">
            <w:pPr>
              <w:widowControl/>
              <w:snapToGrid w:val="0"/>
              <w:spacing w:line="240" w:lineRule="auto"/>
              <w:ind w:left="0" w:leftChars="0" w:right="0" w:rightChars="0" w:firstLine="0" w:firstLineChars="0"/>
              <w:jc w:val="both"/>
              <w:textAlignment w:val="center"/>
              <w:rPr>
                <w:rFonts w:ascii="宋体" w:hAnsi="宋体" w:cs="宋体"/>
                <w:color w:val="000000"/>
                <w:sz w:val="21"/>
                <w:szCs w:val="21"/>
              </w:rPr>
            </w:pPr>
            <w:r>
              <w:rPr>
                <w:rFonts w:hint="eastAsia" w:ascii="宋体" w:hAnsi="宋体" w:cs="宋体"/>
                <w:color w:val="000000"/>
                <w:sz w:val="21"/>
                <w:szCs w:val="21"/>
              </w:rPr>
              <w:t>提供批量关联与溯源管理服务，</w:t>
            </w:r>
            <w:r>
              <w:rPr>
                <w:rFonts w:hint="eastAsia" w:ascii="宋体" w:hAnsi="宋体" w:cs="宋体"/>
                <w:color w:val="000000"/>
                <w:sz w:val="21"/>
                <w:szCs w:val="21"/>
                <w:lang w:val="en-US" w:eastAsia="zh-CN"/>
              </w:rPr>
              <w:t>以信用</w:t>
            </w:r>
            <w:r>
              <w:rPr>
                <w:rFonts w:hint="eastAsia" w:ascii="宋体" w:hAnsi="宋体" w:cs="宋体"/>
                <w:color w:val="000000"/>
                <w:sz w:val="21"/>
                <w:szCs w:val="21"/>
              </w:rPr>
              <w:t>代码实现标签关联</w:t>
            </w:r>
            <w:r>
              <w:rPr>
                <w:rFonts w:hint="eastAsia" w:ascii="宋体" w:hAnsi="宋体" w:cs="宋体"/>
                <w:color w:val="000000"/>
                <w:sz w:val="21"/>
                <w:szCs w:val="21"/>
                <w:lang w:eastAsia="zh-CN"/>
              </w:rPr>
              <w:t>，</w:t>
            </w:r>
            <w:r>
              <w:rPr>
                <w:rFonts w:hint="eastAsia" w:ascii="宋体" w:hAnsi="宋体" w:cs="宋体"/>
                <w:color w:val="000000"/>
                <w:sz w:val="21"/>
                <w:szCs w:val="21"/>
              </w:rPr>
              <w:t>记录结果。</w:t>
            </w:r>
          </w:p>
        </w:tc>
      </w:tr>
      <w:tr w14:paraId="1996BD37">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0369FFFF">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p>
        </w:tc>
        <w:tc>
          <w:tcPr>
            <w:tcW w:w="1056" w:type="pct"/>
            <w:vMerge w:val="continue"/>
            <w:tcBorders>
              <w:top w:val="single" w:color="auto" w:sz="4" w:space="0"/>
              <w:left w:val="single" w:color="auto" w:sz="4" w:space="0"/>
              <w:bottom w:val="single" w:color="auto" w:sz="4" w:space="0"/>
              <w:right w:val="single" w:color="auto" w:sz="4" w:space="0"/>
            </w:tcBorders>
            <w:noWrap/>
            <w:vAlign w:val="center"/>
          </w:tcPr>
          <w:p w14:paraId="2B51FB4A">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top w:val="single" w:color="auto" w:sz="4" w:space="0"/>
              <w:left w:val="single" w:color="auto" w:sz="4" w:space="0"/>
              <w:bottom w:val="single" w:color="auto" w:sz="4" w:space="0"/>
              <w:right w:val="single" w:color="auto" w:sz="4" w:space="0"/>
            </w:tcBorders>
            <w:vAlign w:val="center"/>
          </w:tcPr>
          <w:p w14:paraId="7B5BD7C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auto" w:sz="4" w:space="0"/>
              <w:left w:val="single" w:color="auto" w:sz="4" w:space="0"/>
              <w:bottom w:val="single" w:color="auto" w:sz="4" w:space="0"/>
              <w:right w:val="single" w:color="auto" w:sz="4" w:space="0"/>
            </w:tcBorders>
            <w:vAlign w:val="center"/>
          </w:tcPr>
          <w:p w14:paraId="6174AE2C">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标签解绑功能</w:t>
            </w:r>
          </w:p>
        </w:tc>
        <w:tc>
          <w:tcPr>
            <w:tcW w:w="1791" w:type="pct"/>
            <w:tcBorders>
              <w:top w:val="single" w:color="auto" w:sz="4" w:space="0"/>
              <w:left w:val="single" w:color="auto" w:sz="4" w:space="0"/>
              <w:bottom w:val="single" w:color="auto" w:sz="4" w:space="0"/>
              <w:right w:val="single" w:color="auto" w:sz="4" w:space="0"/>
            </w:tcBorders>
            <w:vAlign w:val="center"/>
          </w:tcPr>
          <w:p w14:paraId="21969DD8">
            <w:pPr>
              <w:widowControl/>
              <w:snapToGrid w:val="0"/>
              <w:spacing w:line="240" w:lineRule="auto"/>
              <w:ind w:left="0" w:leftChars="0" w:right="0" w:rightChars="0" w:firstLine="0" w:firstLineChars="0"/>
              <w:jc w:val="both"/>
              <w:textAlignment w:val="center"/>
              <w:rPr>
                <w:rFonts w:ascii="宋体" w:hAnsi="宋体" w:cs="宋体"/>
                <w:color w:val="000000"/>
                <w:sz w:val="21"/>
                <w:szCs w:val="21"/>
              </w:rPr>
            </w:pPr>
            <w:r>
              <w:rPr>
                <w:rFonts w:hint="eastAsia" w:ascii="宋体" w:hAnsi="宋体" w:cs="宋体"/>
                <w:color w:val="000000"/>
                <w:sz w:val="21"/>
                <w:szCs w:val="21"/>
              </w:rPr>
              <w:t>提供灵活的解除</w:t>
            </w:r>
            <w:r>
              <w:rPr>
                <w:rFonts w:hint="eastAsia" w:ascii="宋体" w:hAnsi="宋体" w:cs="宋体"/>
                <w:color w:val="000000"/>
                <w:sz w:val="21"/>
                <w:szCs w:val="21"/>
                <w:lang w:val="en-US" w:eastAsia="zh-CN"/>
              </w:rPr>
              <w:t>关联</w:t>
            </w:r>
            <w:r>
              <w:rPr>
                <w:rFonts w:hint="eastAsia" w:ascii="宋体" w:hAnsi="宋体" w:cs="宋体"/>
                <w:color w:val="000000"/>
                <w:sz w:val="21"/>
                <w:szCs w:val="21"/>
              </w:rPr>
              <w:t>及追溯服务，</w:t>
            </w:r>
            <w:r>
              <w:rPr>
                <w:rFonts w:hint="eastAsia" w:ascii="宋体" w:hAnsi="宋体" w:cs="宋体"/>
                <w:color w:val="000000"/>
                <w:sz w:val="21"/>
                <w:szCs w:val="21"/>
                <w:lang w:val="en-US" w:eastAsia="zh-CN"/>
              </w:rPr>
              <w:t>支持</w:t>
            </w:r>
            <w:r>
              <w:rPr>
                <w:rFonts w:hint="eastAsia" w:ascii="宋体" w:hAnsi="宋体" w:cs="宋体"/>
                <w:color w:val="000000"/>
                <w:sz w:val="21"/>
                <w:szCs w:val="21"/>
              </w:rPr>
              <w:t>单个或多个关联</w:t>
            </w:r>
            <w:r>
              <w:rPr>
                <w:rFonts w:hint="eastAsia" w:ascii="宋体" w:hAnsi="宋体" w:cs="宋体"/>
                <w:color w:val="000000"/>
                <w:sz w:val="21"/>
                <w:szCs w:val="21"/>
                <w:lang w:val="en-US" w:eastAsia="zh-CN"/>
              </w:rPr>
              <w:t>解除</w:t>
            </w:r>
            <w:r>
              <w:rPr>
                <w:rFonts w:hint="eastAsia" w:ascii="宋体" w:hAnsi="宋体" w:cs="宋体"/>
                <w:color w:val="000000"/>
                <w:sz w:val="21"/>
                <w:szCs w:val="21"/>
              </w:rPr>
              <w:t>，支持历史记录</w:t>
            </w:r>
            <w:r>
              <w:rPr>
                <w:rFonts w:hint="eastAsia" w:ascii="宋体" w:hAnsi="宋体" w:cs="宋体"/>
                <w:color w:val="000000"/>
                <w:sz w:val="21"/>
                <w:szCs w:val="21"/>
                <w:lang w:val="en-US" w:eastAsia="zh-CN"/>
              </w:rPr>
              <w:t>查看</w:t>
            </w:r>
            <w:r>
              <w:rPr>
                <w:rFonts w:hint="eastAsia" w:ascii="宋体" w:hAnsi="宋体" w:cs="宋体"/>
                <w:color w:val="000000"/>
                <w:sz w:val="21"/>
                <w:szCs w:val="21"/>
              </w:rPr>
              <w:t>。</w:t>
            </w:r>
          </w:p>
        </w:tc>
      </w:tr>
      <w:tr w14:paraId="38841F4B">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5FC197E5">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w:t>
            </w:r>
          </w:p>
        </w:tc>
        <w:tc>
          <w:tcPr>
            <w:tcW w:w="1056" w:type="pct"/>
            <w:vMerge w:val="continue"/>
            <w:tcBorders>
              <w:top w:val="single" w:color="auto" w:sz="4" w:space="0"/>
              <w:left w:val="single" w:color="auto" w:sz="4" w:space="0"/>
              <w:bottom w:val="single" w:color="auto" w:sz="4" w:space="0"/>
              <w:right w:val="single" w:color="auto" w:sz="4" w:space="0"/>
            </w:tcBorders>
            <w:noWrap/>
            <w:vAlign w:val="center"/>
          </w:tcPr>
          <w:p w14:paraId="30227306">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restart"/>
            <w:tcBorders>
              <w:top w:val="single" w:color="auto" w:sz="4" w:space="0"/>
              <w:left w:val="single" w:color="auto" w:sz="4" w:space="0"/>
              <w:bottom w:val="single" w:color="auto" w:sz="4" w:space="0"/>
              <w:right w:val="single" w:color="auto" w:sz="4" w:space="0"/>
            </w:tcBorders>
            <w:vAlign w:val="center"/>
          </w:tcPr>
          <w:p w14:paraId="295FCAA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专题管理</w:t>
            </w:r>
          </w:p>
        </w:tc>
        <w:tc>
          <w:tcPr>
            <w:tcW w:w="840" w:type="pct"/>
            <w:tcBorders>
              <w:top w:val="single" w:color="auto" w:sz="4" w:space="0"/>
              <w:left w:val="single" w:color="auto" w:sz="4" w:space="0"/>
              <w:bottom w:val="single" w:color="auto" w:sz="4" w:space="0"/>
              <w:right w:val="single" w:color="auto" w:sz="4" w:space="0"/>
            </w:tcBorders>
            <w:vAlign w:val="center"/>
          </w:tcPr>
          <w:p w14:paraId="3F949D09">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部门专题管理</w:t>
            </w:r>
          </w:p>
        </w:tc>
        <w:tc>
          <w:tcPr>
            <w:tcW w:w="1791" w:type="pct"/>
            <w:tcBorders>
              <w:top w:val="single" w:color="auto" w:sz="4" w:space="0"/>
              <w:left w:val="single" w:color="auto" w:sz="4" w:space="0"/>
              <w:bottom w:val="single" w:color="auto" w:sz="4" w:space="0"/>
              <w:right w:val="single" w:color="auto" w:sz="4" w:space="0"/>
            </w:tcBorders>
            <w:vAlign w:val="center"/>
          </w:tcPr>
          <w:p w14:paraId="0C1649D4">
            <w:pPr>
              <w:widowControl/>
              <w:snapToGrid w:val="0"/>
              <w:spacing w:line="240" w:lineRule="auto"/>
              <w:ind w:left="0" w:leftChars="0" w:right="0" w:rightChars="0" w:firstLine="0" w:firstLineChars="0"/>
              <w:jc w:val="both"/>
              <w:textAlignment w:val="center"/>
              <w:rPr>
                <w:rFonts w:ascii="宋体" w:hAnsi="宋体" w:cs="宋体"/>
                <w:color w:val="000000"/>
                <w:sz w:val="21"/>
                <w:szCs w:val="21"/>
              </w:rPr>
            </w:pPr>
            <w:r>
              <w:rPr>
                <w:rFonts w:hint="eastAsia" w:ascii="宋体" w:hAnsi="宋体" w:cs="宋体"/>
                <w:color w:val="000000"/>
                <w:sz w:val="21"/>
                <w:szCs w:val="21"/>
              </w:rPr>
              <w:t>提供部门存量系统接入配置、访问权限管控及访问行为追溯的一体化服务，支持部门存量系统的对接与入口管理，可配置</w:t>
            </w:r>
            <w:r>
              <w:rPr>
                <w:rFonts w:hint="eastAsia" w:ascii="宋体" w:hAnsi="宋体" w:cs="宋体"/>
                <w:color w:val="000000"/>
                <w:sz w:val="21"/>
                <w:szCs w:val="21"/>
                <w:lang w:val="en-US" w:eastAsia="zh-CN"/>
              </w:rPr>
              <w:t>不同专题访问方式。</w:t>
            </w:r>
          </w:p>
        </w:tc>
      </w:tr>
      <w:tr w14:paraId="4B4A52AB">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1FF36457">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p>
        </w:tc>
        <w:tc>
          <w:tcPr>
            <w:tcW w:w="1056" w:type="pct"/>
            <w:vMerge w:val="continue"/>
            <w:tcBorders>
              <w:top w:val="single" w:color="auto" w:sz="4" w:space="0"/>
              <w:left w:val="single" w:color="auto" w:sz="4" w:space="0"/>
              <w:bottom w:val="single" w:color="auto" w:sz="4" w:space="0"/>
              <w:right w:val="single" w:color="auto" w:sz="4" w:space="0"/>
            </w:tcBorders>
            <w:noWrap/>
            <w:vAlign w:val="center"/>
          </w:tcPr>
          <w:p w14:paraId="0B1607E8">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top w:val="single" w:color="auto" w:sz="4" w:space="0"/>
              <w:left w:val="single" w:color="auto" w:sz="4" w:space="0"/>
              <w:bottom w:val="single" w:color="auto" w:sz="4" w:space="0"/>
              <w:right w:val="single" w:color="auto" w:sz="4" w:space="0"/>
            </w:tcBorders>
            <w:vAlign w:val="center"/>
          </w:tcPr>
          <w:p w14:paraId="136A1896">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auto" w:sz="4" w:space="0"/>
              <w:left w:val="single" w:color="auto" w:sz="4" w:space="0"/>
              <w:bottom w:val="single" w:color="auto" w:sz="4" w:space="0"/>
              <w:right w:val="single" w:color="auto" w:sz="4" w:space="0"/>
            </w:tcBorders>
            <w:vAlign w:val="center"/>
          </w:tcPr>
          <w:p w14:paraId="2FDF4FF8">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综合专题管理</w:t>
            </w:r>
          </w:p>
        </w:tc>
        <w:tc>
          <w:tcPr>
            <w:tcW w:w="1791" w:type="pct"/>
            <w:tcBorders>
              <w:top w:val="single" w:color="auto" w:sz="4" w:space="0"/>
              <w:left w:val="single" w:color="auto" w:sz="4" w:space="0"/>
              <w:bottom w:val="single" w:color="auto" w:sz="4" w:space="0"/>
              <w:right w:val="single" w:color="auto" w:sz="4" w:space="0"/>
            </w:tcBorders>
            <w:vAlign w:val="center"/>
          </w:tcPr>
          <w:p w14:paraId="5551C06D">
            <w:pPr>
              <w:widowControl/>
              <w:snapToGrid w:val="0"/>
              <w:spacing w:line="240" w:lineRule="auto"/>
              <w:ind w:left="0" w:leftChars="0" w:right="0" w:rightChars="0" w:firstLine="0" w:firstLineChars="0"/>
              <w:jc w:val="both"/>
              <w:textAlignment w:val="center"/>
              <w:rPr>
                <w:rFonts w:ascii="宋体" w:hAnsi="宋体" w:cs="宋体"/>
                <w:color w:val="000000"/>
                <w:sz w:val="21"/>
                <w:szCs w:val="21"/>
              </w:rPr>
            </w:pPr>
            <w:r>
              <w:rPr>
                <w:rFonts w:hint="eastAsia" w:ascii="宋体" w:hAnsi="宋体" w:cs="宋体"/>
                <w:color w:val="000000"/>
                <w:sz w:val="21"/>
                <w:szCs w:val="21"/>
              </w:rPr>
              <w:t>提供综合专题相关系统/应用模块的接入配置、访问权限管控及行为追溯一体化服务，支持对综合专题中的系统或应用模块进行接入配置管理，提供</w:t>
            </w:r>
            <w:r>
              <w:rPr>
                <w:rFonts w:hint="eastAsia" w:ascii="宋体" w:hAnsi="宋体" w:cs="宋体"/>
                <w:color w:val="000000"/>
                <w:sz w:val="21"/>
                <w:szCs w:val="21"/>
                <w:lang w:val="en-US" w:eastAsia="zh-CN"/>
              </w:rPr>
              <w:t>不同的</w:t>
            </w:r>
            <w:r>
              <w:rPr>
                <w:rFonts w:hint="eastAsia" w:ascii="宋体" w:hAnsi="宋体" w:cs="宋体"/>
                <w:color w:val="000000"/>
                <w:sz w:val="21"/>
                <w:szCs w:val="21"/>
              </w:rPr>
              <w:t>接入方式及</w:t>
            </w:r>
            <w:r>
              <w:rPr>
                <w:rFonts w:hint="eastAsia" w:ascii="宋体" w:hAnsi="宋体" w:cs="宋体"/>
                <w:color w:val="000000"/>
                <w:sz w:val="21"/>
                <w:szCs w:val="21"/>
                <w:lang w:val="en-US" w:eastAsia="zh-CN"/>
              </w:rPr>
              <w:t>访问方式</w:t>
            </w:r>
            <w:r>
              <w:rPr>
                <w:rFonts w:hint="eastAsia" w:ascii="宋体" w:hAnsi="宋体" w:cs="宋体"/>
                <w:color w:val="000000"/>
                <w:sz w:val="21"/>
                <w:szCs w:val="21"/>
              </w:rPr>
              <w:t>。</w:t>
            </w:r>
          </w:p>
        </w:tc>
      </w:tr>
      <w:tr w14:paraId="3B8FF938">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23890C81">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p>
        </w:tc>
        <w:tc>
          <w:tcPr>
            <w:tcW w:w="1056" w:type="pct"/>
            <w:vMerge w:val="continue"/>
            <w:tcBorders>
              <w:top w:val="single" w:color="auto" w:sz="4" w:space="0"/>
              <w:left w:val="single" w:color="auto" w:sz="4" w:space="0"/>
              <w:bottom w:val="single" w:color="auto" w:sz="4" w:space="0"/>
              <w:right w:val="single" w:color="auto" w:sz="4" w:space="0"/>
            </w:tcBorders>
            <w:noWrap/>
            <w:vAlign w:val="center"/>
          </w:tcPr>
          <w:p w14:paraId="29020C26">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restart"/>
            <w:tcBorders>
              <w:top w:val="single" w:color="auto" w:sz="4" w:space="0"/>
              <w:left w:val="single" w:color="auto" w:sz="4" w:space="0"/>
              <w:bottom w:val="single" w:color="auto" w:sz="4" w:space="0"/>
              <w:right w:val="single" w:color="auto" w:sz="4" w:space="0"/>
            </w:tcBorders>
            <w:vAlign w:val="center"/>
          </w:tcPr>
          <w:p w14:paraId="14BFC62E">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经济指标管理</w:t>
            </w:r>
          </w:p>
        </w:tc>
        <w:tc>
          <w:tcPr>
            <w:tcW w:w="840" w:type="pct"/>
            <w:tcBorders>
              <w:top w:val="single" w:color="auto" w:sz="4" w:space="0"/>
              <w:left w:val="single" w:color="auto" w:sz="4" w:space="0"/>
              <w:bottom w:val="single" w:color="auto" w:sz="4" w:space="0"/>
              <w:right w:val="single" w:color="auto" w:sz="4" w:space="0"/>
            </w:tcBorders>
            <w:vAlign w:val="center"/>
          </w:tcPr>
          <w:p w14:paraId="5D0A9BFF">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经济指标配置和管理</w:t>
            </w:r>
          </w:p>
        </w:tc>
        <w:tc>
          <w:tcPr>
            <w:tcW w:w="1791" w:type="pct"/>
            <w:tcBorders>
              <w:top w:val="single" w:color="auto" w:sz="4" w:space="0"/>
              <w:left w:val="single" w:color="auto" w:sz="4" w:space="0"/>
              <w:bottom w:val="single" w:color="auto" w:sz="4" w:space="0"/>
              <w:right w:val="single" w:color="auto" w:sz="4" w:space="0"/>
            </w:tcBorders>
            <w:vAlign w:val="center"/>
          </w:tcPr>
          <w:p w14:paraId="48D28C40">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提供经济指标全流程配置</w:t>
            </w:r>
            <w:r>
              <w:rPr>
                <w:rFonts w:hint="eastAsia" w:ascii="宋体" w:hAnsi="宋体" w:cs="宋体"/>
                <w:color w:val="000000"/>
                <w:sz w:val="21"/>
                <w:szCs w:val="21"/>
                <w:lang w:eastAsia="zh-CN"/>
              </w:rPr>
              <w:t>，</w:t>
            </w:r>
            <w:r>
              <w:rPr>
                <w:rFonts w:hint="eastAsia" w:ascii="宋体" w:hAnsi="宋体" w:cs="宋体"/>
                <w:color w:val="000000"/>
                <w:sz w:val="21"/>
                <w:szCs w:val="21"/>
              </w:rPr>
              <w:t>数据管理</w:t>
            </w:r>
            <w:r>
              <w:rPr>
                <w:rFonts w:hint="eastAsia" w:ascii="宋体" w:hAnsi="宋体" w:cs="宋体"/>
                <w:color w:val="000000"/>
                <w:sz w:val="21"/>
                <w:szCs w:val="21"/>
                <w:lang w:eastAsia="zh-CN"/>
              </w:rPr>
              <w:t>、</w:t>
            </w:r>
            <w:r>
              <w:rPr>
                <w:rFonts w:hint="eastAsia" w:ascii="宋体" w:hAnsi="宋体" w:cs="宋体"/>
                <w:color w:val="000000"/>
                <w:sz w:val="21"/>
                <w:szCs w:val="21"/>
              </w:rPr>
              <w:t>更新</w:t>
            </w:r>
            <w:r>
              <w:rPr>
                <w:rFonts w:hint="eastAsia" w:ascii="宋体" w:hAnsi="宋体" w:cs="宋体"/>
                <w:color w:val="000000"/>
                <w:sz w:val="21"/>
                <w:szCs w:val="21"/>
                <w:lang w:val="en-US" w:eastAsia="zh-CN"/>
              </w:rPr>
              <w:t>与</w:t>
            </w:r>
            <w:r>
              <w:rPr>
                <w:rFonts w:hint="eastAsia" w:ascii="宋体" w:hAnsi="宋体" w:cs="宋体"/>
                <w:color w:val="000000"/>
                <w:sz w:val="21"/>
                <w:szCs w:val="21"/>
              </w:rPr>
              <w:t>权限</w:t>
            </w:r>
            <w:r>
              <w:rPr>
                <w:rFonts w:hint="eastAsia" w:ascii="宋体" w:hAnsi="宋体" w:cs="宋体"/>
                <w:color w:val="000000"/>
                <w:sz w:val="21"/>
                <w:szCs w:val="21"/>
                <w:lang w:val="en-US" w:eastAsia="zh-CN"/>
              </w:rPr>
              <w:t>管控</w:t>
            </w:r>
            <w:r>
              <w:rPr>
                <w:rFonts w:hint="eastAsia" w:ascii="宋体" w:hAnsi="宋体" w:cs="宋体"/>
                <w:color w:val="000000"/>
                <w:sz w:val="21"/>
                <w:szCs w:val="21"/>
                <w:lang w:eastAsia="zh-CN"/>
              </w:rPr>
              <w:t>、</w:t>
            </w:r>
            <w:r>
              <w:rPr>
                <w:rFonts w:hint="eastAsia" w:ascii="宋体" w:hAnsi="宋体" w:cs="宋体"/>
                <w:color w:val="000000"/>
                <w:sz w:val="21"/>
                <w:szCs w:val="21"/>
              </w:rPr>
              <w:t>追溯的一体化服务，</w:t>
            </w:r>
            <w:r>
              <w:rPr>
                <w:rFonts w:hint="eastAsia" w:ascii="宋体" w:hAnsi="宋体" w:cs="宋体"/>
                <w:color w:val="000000"/>
                <w:sz w:val="21"/>
                <w:szCs w:val="21"/>
                <w:lang w:val="en-US" w:eastAsia="zh-CN"/>
              </w:rPr>
              <w:t>支持</w:t>
            </w:r>
            <w:r>
              <w:rPr>
                <w:rFonts w:hint="eastAsia" w:ascii="宋体" w:hAnsi="宋体" w:cs="宋体"/>
                <w:color w:val="000000"/>
                <w:sz w:val="21"/>
                <w:szCs w:val="21"/>
              </w:rPr>
              <w:t>目录配置、数据基础配置、数据对应管理等多维度基础配置，管理接入方式、模板及来源</w:t>
            </w:r>
            <w:r>
              <w:rPr>
                <w:rFonts w:hint="eastAsia" w:ascii="宋体" w:hAnsi="宋体" w:cs="宋体"/>
                <w:color w:val="000000"/>
                <w:sz w:val="21"/>
                <w:szCs w:val="21"/>
                <w:lang w:val="en-US" w:eastAsia="zh-CN"/>
              </w:rPr>
              <w:t>等</w:t>
            </w:r>
            <w:r>
              <w:rPr>
                <w:rFonts w:hint="eastAsia" w:ascii="宋体" w:hAnsi="宋体" w:cs="宋体"/>
                <w:color w:val="000000"/>
                <w:sz w:val="21"/>
                <w:szCs w:val="21"/>
                <w:lang w:eastAsia="zh-CN"/>
              </w:rPr>
              <w:t>。</w:t>
            </w:r>
          </w:p>
        </w:tc>
      </w:tr>
      <w:tr w14:paraId="5140931C">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1966AD1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p>
        </w:tc>
        <w:tc>
          <w:tcPr>
            <w:tcW w:w="1056" w:type="pct"/>
            <w:vMerge w:val="continue"/>
            <w:tcBorders>
              <w:top w:val="single" w:color="auto" w:sz="4" w:space="0"/>
              <w:left w:val="single" w:color="auto" w:sz="4" w:space="0"/>
              <w:bottom w:val="single" w:color="auto" w:sz="4" w:space="0"/>
              <w:right w:val="single" w:color="auto" w:sz="4" w:space="0"/>
            </w:tcBorders>
            <w:noWrap/>
            <w:vAlign w:val="center"/>
          </w:tcPr>
          <w:p w14:paraId="39B0C6D7">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top w:val="single" w:color="auto" w:sz="4" w:space="0"/>
              <w:left w:val="single" w:color="auto" w:sz="4" w:space="0"/>
              <w:bottom w:val="single" w:color="auto" w:sz="4" w:space="0"/>
              <w:right w:val="single" w:color="auto" w:sz="4" w:space="0"/>
            </w:tcBorders>
            <w:vAlign w:val="center"/>
          </w:tcPr>
          <w:p w14:paraId="66A2B026">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auto" w:sz="4" w:space="0"/>
              <w:left w:val="single" w:color="auto" w:sz="4" w:space="0"/>
              <w:bottom w:val="single" w:color="auto" w:sz="4" w:space="0"/>
              <w:right w:val="single" w:color="auto" w:sz="4" w:space="0"/>
            </w:tcBorders>
            <w:vAlign w:val="center"/>
          </w:tcPr>
          <w:p w14:paraId="02BCE676">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首页指标数据</w:t>
            </w:r>
          </w:p>
        </w:tc>
        <w:tc>
          <w:tcPr>
            <w:tcW w:w="1791" w:type="pct"/>
            <w:tcBorders>
              <w:top w:val="single" w:color="auto" w:sz="4" w:space="0"/>
              <w:left w:val="single" w:color="auto" w:sz="4" w:space="0"/>
              <w:bottom w:val="single" w:color="auto" w:sz="4" w:space="0"/>
              <w:right w:val="single" w:color="auto" w:sz="4" w:space="0"/>
            </w:tcBorders>
            <w:vAlign w:val="center"/>
          </w:tcPr>
          <w:p w14:paraId="2C89AB1E">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rPr>
              <w:t>提供核心经济指标的多维度数据管理、解析、</w:t>
            </w:r>
            <w:r>
              <w:rPr>
                <w:rFonts w:hint="eastAsia" w:ascii="宋体" w:hAnsi="宋体" w:cs="宋体"/>
                <w:color w:val="000000"/>
                <w:sz w:val="21"/>
                <w:szCs w:val="21"/>
                <w:lang w:val="en-US" w:eastAsia="zh-CN"/>
              </w:rPr>
              <w:t>接入</w:t>
            </w:r>
            <w:r>
              <w:rPr>
                <w:rFonts w:hint="eastAsia" w:ascii="宋体" w:hAnsi="宋体" w:cs="宋体"/>
                <w:color w:val="000000"/>
                <w:sz w:val="21"/>
                <w:szCs w:val="21"/>
              </w:rPr>
              <w:t>服务，</w:t>
            </w:r>
            <w:r>
              <w:rPr>
                <w:rFonts w:hint="eastAsia" w:ascii="宋体" w:hAnsi="宋体" w:cs="宋体"/>
                <w:color w:val="000000"/>
                <w:sz w:val="21"/>
                <w:szCs w:val="21"/>
                <w:lang w:val="en-US" w:eastAsia="zh-CN"/>
              </w:rPr>
              <w:t>提供</w:t>
            </w:r>
            <w:r>
              <w:rPr>
                <w:rFonts w:hint="eastAsia" w:ascii="宋体" w:hAnsi="宋体" w:cs="宋体"/>
                <w:color w:val="000000"/>
                <w:sz w:val="21"/>
                <w:szCs w:val="21"/>
              </w:rPr>
              <w:t>管理页面，涵盖累计数据及无锡排名等核心要素，</w:t>
            </w:r>
            <w:r>
              <w:rPr>
                <w:rFonts w:hint="eastAsia" w:ascii="宋体" w:hAnsi="宋体" w:cs="宋体"/>
                <w:color w:val="000000"/>
                <w:sz w:val="21"/>
                <w:szCs w:val="21"/>
                <w:lang w:val="en-US" w:eastAsia="zh-CN"/>
              </w:rPr>
              <w:t>支持库表、人工、导入等多种数据接入方式。</w:t>
            </w:r>
          </w:p>
        </w:tc>
      </w:tr>
      <w:tr w14:paraId="306FF468">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3AE09769">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p>
        </w:tc>
        <w:tc>
          <w:tcPr>
            <w:tcW w:w="1056" w:type="pct"/>
            <w:vMerge w:val="continue"/>
            <w:tcBorders>
              <w:top w:val="single" w:color="auto" w:sz="4" w:space="0"/>
              <w:left w:val="single" w:color="auto" w:sz="4" w:space="0"/>
              <w:right w:val="single" w:color="000000" w:sz="4" w:space="0"/>
            </w:tcBorders>
            <w:noWrap/>
            <w:vAlign w:val="center"/>
          </w:tcPr>
          <w:p w14:paraId="27DD3907">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top w:val="single" w:color="auto" w:sz="4" w:space="0"/>
              <w:left w:val="single" w:color="000000" w:sz="4" w:space="0"/>
              <w:right w:val="single" w:color="000000" w:sz="4" w:space="0"/>
            </w:tcBorders>
            <w:vAlign w:val="center"/>
          </w:tcPr>
          <w:p w14:paraId="1270D84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auto" w:sz="4" w:space="0"/>
              <w:left w:val="single" w:color="000000" w:sz="4" w:space="0"/>
              <w:bottom w:val="single" w:color="000000" w:sz="4" w:space="0"/>
              <w:right w:val="single" w:color="000000" w:sz="4" w:space="0"/>
            </w:tcBorders>
            <w:vAlign w:val="center"/>
          </w:tcPr>
          <w:p w14:paraId="3766C30A">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GDP指标核算明细</w:t>
            </w:r>
          </w:p>
        </w:tc>
        <w:tc>
          <w:tcPr>
            <w:tcW w:w="1791" w:type="pct"/>
            <w:tcBorders>
              <w:top w:val="single" w:color="auto" w:sz="4" w:space="0"/>
              <w:left w:val="single" w:color="000000" w:sz="4" w:space="0"/>
              <w:bottom w:val="single" w:color="000000" w:sz="4" w:space="0"/>
              <w:right w:val="single" w:color="000000" w:sz="4" w:space="0"/>
            </w:tcBorders>
            <w:vAlign w:val="center"/>
          </w:tcPr>
          <w:p w14:paraId="4617C666">
            <w:pPr>
              <w:widowControl/>
              <w:snapToGrid w:val="0"/>
              <w:spacing w:line="240" w:lineRule="auto"/>
              <w:ind w:left="0" w:leftChars="0" w:right="0" w:rightChars="0" w:firstLine="0" w:firstLineChars="0"/>
              <w:jc w:val="both"/>
              <w:textAlignment w:val="center"/>
              <w:rPr>
                <w:rFonts w:ascii="宋体" w:hAnsi="宋体" w:cs="宋体"/>
                <w:color w:val="000000"/>
                <w:sz w:val="21"/>
                <w:szCs w:val="21"/>
              </w:rPr>
            </w:pPr>
            <w:r>
              <w:rPr>
                <w:rFonts w:hint="eastAsia" w:ascii="宋体" w:hAnsi="宋体" w:cs="宋体"/>
                <w:color w:val="000000"/>
                <w:sz w:val="21"/>
                <w:szCs w:val="21"/>
              </w:rPr>
              <w:t>提供</w:t>
            </w:r>
            <w:r>
              <w:rPr>
                <w:rFonts w:hint="eastAsia" w:ascii="宋体" w:hAnsi="宋体" w:cs="宋体"/>
                <w:color w:val="000000"/>
                <w:sz w:val="21"/>
                <w:szCs w:val="21"/>
                <w:lang w:val="en-US" w:eastAsia="zh-CN"/>
              </w:rPr>
              <w:t>全行业门</w:t>
            </w:r>
            <w:r>
              <w:rPr>
                <w:rFonts w:hint="eastAsia" w:ascii="宋体" w:hAnsi="宋体" w:cs="宋体"/>
                <w:color w:val="000000"/>
                <w:sz w:val="21"/>
                <w:szCs w:val="21"/>
              </w:rPr>
              <w:t>类</w:t>
            </w:r>
            <w:r>
              <w:rPr>
                <w:rFonts w:hint="eastAsia" w:ascii="宋体" w:hAnsi="宋体" w:cs="宋体"/>
                <w:color w:val="000000"/>
                <w:sz w:val="21"/>
                <w:szCs w:val="21"/>
                <w:lang w:val="en-US" w:eastAsia="zh-CN"/>
              </w:rPr>
              <w:t>的</w:t>
            </w:r>
            <w:r>
              <w:rPr>
                <w:rFonts w:hint="eastAsia" w:ascii="宋体" w:hAnsi="宋体" w:cs="宋体"/>
                <w:color w:val="000000"/>
                <w:sz w:val="21"/>
                <w:szCs w:val="21"/>
              </w:rPr>
              <w:t>GDP基础指标</w:t>
            </w:r>
            <w:r>
              <w:rPr>
                <w:rFonts w:hint="eastAsia" w:ascii="宋体" w:hAnsi="宋体" w:cs="宋体"/>
                <w:color w:val="000000"/>
                <w:sz w:val="21"/>
                <w:szCs w:val="21"/>
                <w:lang w:val="en-US" w:eastAsia="zh-CN"/>
              </w:rPr>
              <w:t>核算明细的</w:t>
            </w:r>
            <w:r>
              <w:rPr>
                <w:rFonts w:hint="eastAsia" w:ascii="宋体" w:hAnsi="宋体" w:cs="宋体"/>
                <w:color w:val="000000"/>
                <w:sz w:val="21"/>
                <w:szCs w:val="21"/>
              </w:rPr>
              <w:t>全流程数据管理服务，</w:t>
            </w:r>
            <w:r>
              <w:rPr>
                <w:rFonts w:hint="eastAsia" w:ascii="宋体" w:hAnsi="宋体" w:cs="宋体"/>
                <w:color w:val="000000"/>
                <w:sz w:val="21"/>
                <w:szCs w:val="21"/>
                <w:lang w:val="en-US" w:eastAsia="zh-CN"/>
              </w:rPr>
              <w:t>提供</w:t>
            </w:r>
            <w:r>
              <w:rPr>
                <w:rFonts w:hint="eastAsia" w:ascii="宋体" w:hAnsi="宋体" w:cs="宋体"/>
                <w:color w:val="000000"/>
                <w:sz w:val="21"/>
                <w:szCs w:val="21"/>
              </w:rPr>
              <w:t>前台管理页面</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支持库表、人工、导入等多种数据接入方式。</w:t>
            </w:r>
          </w:p>
        </w:tc>
      </w:tr>
      <w:tr w14:paraId="710CD2C6">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5898F73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10</w:t>
            </w:r>
          </w:p>
        </w:tc>
        <w:tc>
          <w:tcPr>
            <w:tcW w:w="1056" w:type="pct"/>
            <w:vMerge w:val="continue"/>
            <w:tcBorders>
              <w:left w:val="single" w:color="auto" w:sz="4" w:space="0"/>
              <w:right w:val="single" w:color="000000" w:sz="4" w:space="0"/>
            </w:tcBorders>
            <w:noWrap/>
            <w:vAlign w:val="center"/>
          </w:tcPr>
          <w:p w14:paraId="11796D2A">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left w:val="single" w:color="000000" w:sz="4" w:space="0"/>
              <w:right w:val="single" w:color="000000" w:sz="4" w:space="0"/>
            </w:tcBorders>
            <w:vAlign w:val="center"/>
          </w:tcPr>
          <w:p w14:paraId="7C1FC324">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3BB34911">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规上工业产值</w:t>
            </w:r>
          </w:p>
        </w:tc>
        <w:tc>
          <w:tcPr>
            <w:tcW w:w="1791" w:type="pct"/>
            <w:tcBorders>
              <w:top w:val="single" w:color="000000" w:sz="4" w:space="0"/>
              <w:left w:val="single" w:color="000000" w:sz="4" w:space="0"/>
              <w:bottom w:val="single" w:color="000000" w:sz="4" w:space="0"/>
              <w:right w:val="single" w:color="000000" w:sz="4" w:space="0"/>
            </w:tcBorders>
            <w:vAlign w:val="center"/>
          </w:tcPr>
          <w:p w14:paraId="0898371D">
            <w:pPr>
              <w:widowControl/>
              <w:snapToGrid w:val="0"/>
              <w:spacing w:line="240" w:lineRule="auto"/>
              <w:ind w:left="0" w:leftChars="0" w:right="0" w:rightChars="0" w:firstLine="0" w:firstLineChars="0"/>
              <w:jc w:val="both"/>
              <w:textAlignment w:val="center"/>
              <w:rPr>
                <w:rFonts w:ascii="宋体" w:hAnsi="宋体" w:cs="宋体"/>
                <w:color w:val="000000"/>
                <w:sz w:val="21"/>
                <w:szCs w:val="21"/>
              </w:rPr>
            </w:pPr>
            <w:r>
              <w:rPr>
                <w:rFonts w:hint="eastAsia" w:ascii="宋体" w:hAnsi="宋体" w:cs="宋体"/>
                <w:color w:val="000000"/>
                <w:sz w:val="21"/>
                <w:szCs w:val="21"/>
              </w:rPr>
              <w:t>提供规上工业产值多维度数据展示、</w:t>
            </w:r>
            <w:r>
              <w:rPr>
                <w:rFonts w:hint="eastAsia" w:ascii="宋体" w:hAnsi="宋体" w:cs="宋体"/>
                <w:color w:val="000000"/>
                <w:sz w:val="21"/>
                <w:szCs w:val="21"/>
                <w:lang w:val="en-US" w:eastAsia="zh-CN"/>
              </w:rPr>
              <w:t>接入维护和审核管理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提供</w:t>
            </w:r>
            <w:r>
              <w:rPr>
                <w:rFonts w:hint="eastAsia" w:ascii="宋体" w:hAnsi="宋体" w:cs="宋体"/>
                <w:color w:val="000000"/>
                <w:sz w:val="21"/>
                <w:szCs w:val="21"/>
              </w:rPr>
              <w:t>管理页面，</w:t>
            </w:r>
            <w:r>
              <w:rPr>
                <w:rFonts w:hint="eastAsia" w:ascii="宋体" w:hAnsi="宋体" w:cs="宋体"/>
                <w:color w:val="000000"/>
                <w:sz w:val="21"/>
                <w:szCs w:val="21"/>
                <w:lang w:val="en-US" w:eastAsia="zh-CN"/>
              </w:rPr>
              <w:t>对</w:t>
            </w:r>
            <w:r>
              <w:rPr>
                <w:rFonts w:hint="eastAsia" w:ascii="宋体" w:hAnsi="宋体" w:cs="宋体"/>
                <w:color w:val="000000"/>
                <w:sz w:val="21"/>
                <w:szCs w:val="21"/>
              </w:rPr>
              <w:t>多类数据场景</w:t>
            </w:r>
            <w:r>
              <w:rPr>
                <w:rFonts w:hint="eastAsia" w:ascii="宋体" w:hAnsi="宋体" w:cs="宋体"/>
                <w:color w:val="000000"/>
                <w:sz w:val="21"/>
                <w:szCs w:val="21"/>
                <w:lang w:val="en-US" w:eastAsia="zh-CN"/>
              </w:rPr>
              <w:t>进行管理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支持库表、人工、导入等多种数据接入方式。</w:t>
            </w:r>
          </w:p>
        </w:tc>
      </w:tr>
      <w:tr w14:paraId="1481D4C0">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196A5839">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p>
        </w:tc>
        <w:tc>
          <w:tcPr>
            <w:tcW w:w="1056" w:type="pct"/>
            <w:vMerge w:val="continue"/>
            <w:tcBorders>
              <w:left w:val="single" w:color="auto" w:sz="4" w:space="0"/>
              <w:right w:val="single" w:color="000000" w:sz="4" w:space="0"/>
            </w:tcBorders>
            <w:noWrap/>
            <w:vAlign w:val="center"/>
          </w:tcPr>
          <w:p w14:paraId="6FC1EAA1">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left w:val="single" w:color="000000" w:sz="4" w:space="0"/>
              <w:right w:val="single" w:color="000000" w:sz="4" w:space="0"/>
            </w:tcBorders>
            <w:vAlign w:val="center"/>
          </w:tcPr>
          <w:p w14:paraId="0BCEE32E">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340D678A">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限上单位贸易额</w:t>
            </w:r>
          </w:p>
        </w:tc>
        <w:tc>
          <w:tcPr>
            <w:tcW w:w="1791" w:type="pct"/>
            <w:tcBorders>
              <w:top w:val="single" w:color="000000" w:sz="4" w:space="0"/>
              <w:left w:val="single" w:color="000000" w:sz="4" w:space="0"/>
              <w:bottom w:val="single" w:color="000000" w:sz="4" w:space="0"/>
              <w:right w:val="single" w:color="000000" w:sz="4" w:space="0"/>
            </w:tcBorders>
            <w:vAlign w:val="center"/>
          </w:tcPr>
          <w:p w14:paraId="6B5BFE67">
            <w:pPr>
              <w:widowControl/>
              <w:snapToGrid w:val="0"/>
              <w:spacing w:line="240" w:lineRule="auto"/>
              <w:ind w:left="0" w:leftChars="0" w:right="0" w:rightChars="0" w:firstLine="0" w:firstLineChars="0"/>
              <w:jc w:val="both"/>
              <w:textAlignment w:val="center"/>
              <w:rPr>
                <w:rFonts w:ascii="宋体" w:hAnsi="宋体" w:cs="宋体"/>
                <w:color w:val="000000"/>
                <w:sz w:val="21"/>
                <w:szCs w:val="21"/>
              </w:rPr>
            </w:pPr>
            <w:r>
              <w:rPr>
                <w:rFonts w:hint="eastAsia" w:ascii="宋体" w:hAnsi="宋体" w:cs="宋体"/>
                <w:color w:val="000000"/>
                <w:sz w:val="21"/>
                <w:szCs w:val="21"/>
              </w:rPr>
              <w:t>提供批零住餐行业经济数据全流程管理服务，</w:t>
            </w:r>
            <w:r>
              <w:rPr>
                <w:rFonts w:hint="eastAsia" w:ascii="宋体" w:hAnsi="宋体" w:cs="宋体"/>
                <w:color w:val="000000"/>
                <w:sz w:val="21"/>
                <w:szCs w:val="21"/>
                <w:lang w:val="en-US" w:eastAsia="zh-CN"/>
              </w:rPr>
              <w:t>提供</w:t>
            </w:r>
            <w:r>
              <w:rPr>
                <w:rFonts w:hint="eastAsia" w:ascii="宋体" w:hAnsi="宋体" w:cs="宋体"/>
                <w:color w:val="000000"/>
                <w:sz w:val="21"/>
                <w:szCs w:val="21"/>
              </w:rPr>
              <w:t>管理页面，</w:t>
            </w:r>
            <w:r>
              <w:rPr>
                <w:rFonts w:hint="eastAsia" w:ascii="宋体" w:hAnsi="宋体" w:cs="宋体"/>
                <w:color w:val="000000"/>
                <w:sz w:val="21"/>
                <w:szCs w:val="21"/>
                <w:lang w:val="en-US" w:eastAsia="zh-CN"/>
              </w:rPr>
              <w:t>从批零住餐四个行业进行数据管理；支持库表、人工、导入等多种数据接入方式。</w:t>
            </w:r>
          </w:p>
        </w:tc>
      </w:tr>
      <w:tr w14:paraId="1E090827">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13B759F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12</w:t>
            </w:r>
          </w:p>
        </w:tc>
        <w:tc>
          <w:tcPr>
            <w:tcW w:w="1056" w:type="pct"/>
            <w:vMerge w:val="continue"/>
            <w:tcBorders>
              <w:left w:val="single" w:color="auto" w:sz="4" w:space="0"/>
              <w:right w:val="single" w:color="000000" w:sz="4" w:space="0"/>
            </w:tcBorders>
            <w:noWrap/>
            <w:vAlign w:val="center"/>
          </w:tcPr>
          <w:p w14:paraId="4589B7C8">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left w:val="single" w:color="000000" w:sz="4" w:space="0"/>
              <w:right w:val="single" w:color="000000" w:sz="4" w:space="0"/>
            </w:tcBorders>
            <w:vAlign w:val="center"/>
          </w:tcPr>
          <w:p w14:paraId="680E1418">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449E3221">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规上营利性服务业营业收入</w:t>
            </w:r>
          </w:p>
        </w:tc>
        <w:tc>
          <w:tcPr>
            <w:tcW w:w="1791" w:type="pct"/>
            <w:tcBorders>
              <w:top w:val="single" w:color="000000" w:sz="4" w:space="0"/>
              <w:left w:val="single" w:color="000000" w:sz="4" w:space="0"/>
              <w:bottom w:val="single" w:color="000000" w:sz="4" w:space="0"/>
              <w:right w:val="single" w:color="000000" w:sz="4" w:space="0"/>
            </w:tcBorders>
            <w:vAlign w:val="center"/>
          </w:tcPr>
          <w:p w14:paraId="71DE574E">
            <w:pPr>
              <w:widowControl/>
              <w:snapToGrid w:val="0"/>
              <w:spacing w:line="240" w:lineRule="auto"/>
              <w:ind w:left="0" w:leftChars="0" w:right="0" w:rightChars="0" w:firstLine="0" w:firstLineChars="0"/>
              <w:jc w:val="both"/>
              <w:textAlignment w:val="center"/>
              <w:rPr>
                <w:rFonts w:ascii="宋体" w:hAnsi="宋体" w:cs="宋体"/>
                <w:color w:val="000000"/>
                <w:sz w:val="21"/>
                <w:szCs w:val="21"/>
              </w:rPr>
            </w:pPr>
            <w:r>
              <w:rPr>
                <w:rFonts w:hint="eastAsia" w:ascii="宋体" w:hAnsi="宋体" w:cs="宋体"/>
                <w:color w:val="000000"/>
                <w:sz w:val="21"/>
                <w:szCs w:val="21"/>
              </w:rPr>
              <w:t>提供规上营利性服务业营业收入全流程数据管理功能，</w:t>
            </w:r>
            <w:r>
              <w:rPr>
                <w:rFonts w:hint="eastAsia" w:ascii="宋体" w:hAnsi="宋体" w:cs="宋体"/>
                <w:color w:val="000000"/>
                <w:sz w:val="21"/>
                <w:szCs w:val="21"/>
                <w:lang w:val="en-US" w:eastAsia="zh-CN"/>
              </w:rPr>
              <w:t>可从板块、行业和重点企业三个角度进行数据管理；支持库表、人工、导入等多种数据接入方式。</w:t>
            </w:r>
          </w:p>
        </w:tc>
      </w:tr>
      <w:tr w14:paraId="175C5510">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38FADA64">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13</w:t>
            </w:r>
          </w:p>
        </w:tc>
        <w:tc>
          <w:tcPr>
            <w:tcW w:w="1056" w:type="pct"/>
            <w:vMerge w:val="continue"/>
            <w:tcBorders>
              <w:left w:val="single" w:color="auto" w:sz="4" w:space="0"/>
              <w:right w:val="single" w:color="000000" w:sz="4" w:space="0"/>
            </w:tcBorders>
            <w:noWrap/>
            <w:vAlign w:val="center"/>
          </w:tcPr>
          <w:p w14:paraId="72C55D60">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left w:val="single" w:color="000000" w:sz="4" w:space="0"/>
              <w:right w:val="single" w:color="000000" w:sz="4" w:space="0"/>
            </w:tcBorders>
            <w:vAlign w:val="center"/>
          </w:tcPr>
          <w:p w14:paraId="028E367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0753A29A">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商品房销售面积</w:t>
            </w:r>
          </w:p>
        </w:tc>
        <w:tc>
          <w:tcPr>
            <w:tcW w:w="1791" w:type="pct"/>
            <w:tcBorders>
              <w:top w:val="single" w:color="000000" w:sz="4" w:space="0"/>
              <w:left w:val="single" w:color="000000" w:sz="4" w:space="0"/>
              <w:bottom w:val="single" w:color="000000" w:sz="4" w:space="0"/>
              <w:right w:val="single" w:color="000000" w:sz="4" w:space="0"/>
            </w:tcBorders>
            <w:vAlign w:val="center"/>
          </w:tcPr>
          <w:p w14:paraId="1E686C48">
            <w:pPr>
              <w:widowControl/>
              <w:snapToGrid w:val="0"/>
              <w:spacing w:line="240" w:lineRule="auto"/>
              <w:ind w:left="0" w:leftChars="0" w:right="0" w:rightChars="0" w:firstLine="0" w:firstLineChars="0"/>
              <w:jc w:val="both"/>
              <w:textAlignment w:val="center"/>
              <w:rPr>
                <w:rFonts w:ascii="宋体" w:hAnsi="宋体" w:cs="宋体"/>
                <w:color w:val="000000"/>
                <w:sz w:val="21"/>
                <w:szCs w:val="21"/>
              </w:rPr>
            </w:pPr>
            <w:r>
              <w:rPr>
                <w:rFonts w:hint="eastAsia" w:ascii="宋体" w:hAnsi="宋体" w:cs="宋体"/>
                <w:color w:val="000000"/>
                <w:sz w:val="21"/>
                <w:szCs w:val="21"/>
              </w:rPr>
              <w:t>提供商品房</w:t>
            </w:r>
            <w:r>
              <w:rPr>
                <w:rFonts w:hint="eastAsia" w:ascii="宋体" w:hAnsi="宋体" w:cs="宋体"/>
                <w:color w:val="000000"/>
                <w:sz w:val="21"/>
                <w:szCs w:val="21"/>
                <w:lang w:val="en-US" w:eastAsia="zh-CN"/>
              </w:rPr>
              <w:t>数据</w:t>
            </w:r>
            <w:r>
              <w:rPr>
                <w:rFonts w:hint="eastAsia" w:ascii="宋体" w:hAnsi="宋体" w:cs="宋体"/>
                <w:color w:val="000000"/>
                <w:sz w:val="21"/>
                <w:szCs w:val="21"/>
              </w:rPr>
              <w:t>全流程管理功能</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提供</w:t>
            </w:r>
            <w:r>
              <w:rPr>
                <w:rFonts w:hint="eastAsia" w:ascii="宋体" w:hAnsi="宋体" w:cs="宋体"/>
                <w:color w:val="000000"/>
                <w:sz w:val="21"/>
                <w:szCs w:val="21"/>
              </w:rPr>
              <w:t>商品房销售面积指标管理页面，涵盖纳统、网签情况及对比数据展示</w:t>
            </w:r>
            <w:r>
              <w:rPr>
                <w:rFonts w:hint="eastAsia" w:ascii="宋体" w:hAnsi="宋体" w:cs="宋体"/>
                <w:color w:val="000000"/>
                <w:sz w:val="21"/>
                <w:szCs w:val="21"/>
                <w:lang w:val="en-US" w:eastAsia="zh-CN"/>
              </w:rPr>
              <w:t>；支持库表、人工、导入等多种数据接入方式。</w:t>
            </w:r>
          </w:p>
        </w:tc>
      </w:tr>
      <w:tr w14:paraId="5AA41D41">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3942DB26">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14</w:t>
            </w:r>
          </w:p>
        </w:tc>
        <w:tc>
          <w:tcPr>
            <w:tcW w:w="1056" w:type="pct"/>
            <w:vMerge w:val="continue"/>
            <w:tcBorders>
              <w:left w:val="single" w:color="auto" w:sz="4" w:space="0"/>
              <w:right w:val="single" w:color="000000" w:sz="4" w:space="0"/>
            </w:tcBorders>
            <w:noWrap/>
            <w:vAlign w:val="center"/>
          </w:tcPr>
          <w:p w14:paraId="2EA83E57">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left w:val="single" w:color="000000" w:sz="4" w:space="0"/>
              <w:right w:val="single" w:color="000000" w:sz="4" w:space="0"/>
            </w:tcBorders>
            <w:vAlign w:val="center"/>
          </w:tcPr>
          <w:p w14:paraId="007634A2">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306E66A2">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固定资产投资</w:t>
            </w:r>
          </w:p>
        </w:tc>
        <w:tc>
          <w:tcPr>
            <w:tcW w:w="1791" w:type="pct"/>
            <w:tcBorders>
              <w:top w:val="single" w:color="000000" w:sz="4" w:space="0"/>
              <w:left w:val="single" w:color="000000" w:sz="4" w:space="0"/>
              <w:bottom w:val="single" w:color="000000" w:sz="4" w:space="0"/>
              <w:right w:val="single" w:color="000000" w:sz="4" w:space="0"/>
            </w:tcBorders>
            <w:vAlign w:val="center"/>
          </w:tcPr>
          <w:p w14:paraId="1ECB1594">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rPr>
            </w:pPr>
            <w:r>
              <w:rPr>
                <w:rFonts w:hint="eastAsia" w:ascii="宋体" w:hAnsi="宋体" w:cs="宋体"/>
                <w:color w:val="000000"/>
                <w:sz w:val="21"/>
                <w:szCs w:val="21"/>
              </w:rPr>
              <w:t>提供固定资产投资</w:t>
            </w:r>
            <w:r>
              <w:rPr>
                <w:rFonts w:hint="eastAsia" w:ascii="宋体" w:hAnsi="宋体" w:cs="宋体"/>
                <w:color w:val="000000"/>
                <w:sz w:val="21"/>
                <w:szCs w:val="21"/>
                <w:lang w:val="en-US" w:eastAsia="zh-CN"/>
              </w:rPr>
              <w:t>数据</w:t>
            </w:r>
            <w:r>
              <w:rPr>
                <w:rFonts w:hint="eastAsia" w:ascii="宋体" w:hAnsi="宋体" w:cs="宋体"/>
                <w:color w:val="000000"/>
                <w:sz w:val="21"/>
                <w:szCs w:val="21"/>
              </w:rPr>
              <w:t>全流程管理功能，</w:t>
            </w:r>
            <w:r>
              <w:rPr>
                <w:rFonts w:hint="eastAsia" w:ascii="宋体" w:hAnsi="宋体" w:cs="宋体"/>
                <w:color w:val="000000"/>
                <w:sz w:val="21"/>
                <w:szCs w:val="21"/>
                <w:lang w:val="en-US" w:eastAsia="zh-CN"/>
              </w:rPr>
              <w:t>可</w:t>
            </w:r>
            <w:r>
              <w:rPr>
                <w:rFonts w:hint="eastAsia" w:ascii="宋体" w:hAnsi="宋体" w:cs="宋体"/>
                <w:color w:val="000000"/>
                <w:sz w:val="21"/>
                <w:szCs w:val="21"/>
              </w:rPr>
              <w:t>分板块总览、服务业、工业、民间投资</w:t>
            </w:r>
            <w:r>
              <w:rPr>
                <w:rFonts w:hint="eastAsia" w:ascii="宋体" w:hAnsi="宋体" w:cs="宋体"/>
                <w:color w:val="000000"/>
                <w:sz w:val="21"/>
                <w:szCs w:val="21"/>
                <w:lang w:val="en-US" w:eastAsia="zh-CN"/>
              </w:rPr>
              <w:t>等维度进行数据管理；支持库表、人工、导入等多种数据接入方式。</w:t>
            </w:r>
          </w:p>
        </w:tc>
      </w:tr>
      <w:tr w14:paraId="4ADC5571">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auto" w:sz="4" w:space="0"/>
              <w:right w:val="single" w:color="auto" w:sz="4" w:space="0"/>
            </w:tcBorders>
            <w:noWrap/>
            <w:vAlign w:val="center"/>
          </w:tcPr>
          <w:p w14:paraId="5892B59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15</w:t>
            </w:r>
          </w:p>
        </w:tc>
        <w:tc>
          <w:tcPr>
            <w:tcW w:w="1056" w:type="pct"/>
            <w:vMerge w:val="continue"/>
            <w:tcBorders>
              <w:left w:val="single" w:color="auto" w:sz="4" w:space="0"/>
              <w:bottom w:val="single" w:color="auto" w:sz="4" w:space="0"/>
              <w:right w:val="single" w:color="000000" w:sz="4" w:space="0"/>
            </w:tcBorders>
            <w:noWrap/>
            <w:vAlign w:val="center"/>
          </w:tcPr>
          <w:p w14:paraId="2A47B8F2">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left w:val="single" w:color="000000" w:sz="4" w:space="0"/>
              <w:bottom w:val="single" w:color="auto" w:sz="4" w:space="0"/>
              <w:right w:val="single" w:color="000000" w:sz="4" w:space="0"/>
            </w:tcBorders>
            <w:vAlign w:val="center"/>
          </w:tcPr>
          <w:p w14:paraId="6A3E8697">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000000" w:sz="4" w:space="0"/>
              <w:left w:val="single" w:color="000000" w:sz="4" w:space="0"/>
              <w:bottom w:val="single" w:color="auto" w:sz="4" w:space="0"/>
              <w:right w:val="single" w:color="000000" w:sz="4" w:space="0"/>
            </w:tcBorders>
            <w:vAlign w:val="center"/>
          </w:tcPr>
          <w:p w14:paraId="10E1A01F">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进出口总额</w:t>
            </w:r>
          </w:p>
        </w:tc>
        <w:tc>
          <w:tcPr>
            <w:tcW w:w="1791" w:type="pct"/>
            <w:tcBorders>
              <w:top w:val="single" w:color="000000" w:sz="4" w:space="0"/>
              <w:left w:val="single" w:color="000000" w:sz="4" w:space="0"/>
              <w:bottom w:val="single" w:color="auto" w:sz="4" w:space="0"/>
              <w:right w:val="single" w:color="000000" w:sz="4" w:space="0"/>
            </w:tcBorders>
            <w:vAlign w:val="center"/>
          </w:tcPr>
          <w:p w14:paraId="10A1E269">
            <w:pPr>
              <w:widowControl/>
              <w:snapToGrid w:val="0"/>
              <w:spacing w:line="240" w:lineRule="auto"/>
              <w:ind w:left="0" w:leftChars="0" w:right="0" w:rightChars="0" w:firstLine="0" w:firstLineChars="0"/>
              <w:jc w:val="both"/>
              <w:textAlignment w:val="center"/>
              <w:rPr>
                <w:rFonts w:ascii="宋体" w:hAnsi="宋体" w:cs="宋体"/>
                <w:color w:val="000000"/>
                <w:sz w:val="21"/>
                <w:szCs w:val="21"/>
              </w:rPr>
            </w:pPr>
            <w:r>
              <w:rPr>
                <w:rFonts w:hint="eastAsia" w:ascii="宋体" w:hAnsi="宋体" w:cs="宋体"/>
                <w:color w:val="000000"/>
                <w:sz w:val="21"/>
                <w:szCs w:val="21"/>
              </w:rPr>
              <w:t>提供进出口数据全流程管理能力，</w:t>
            </w:r>
            <w:r>
              <w:rPr>
                <w:rFonts w:hint="eastAsia" w:ascii="宋体" w:hAnsi="宋体" w:cs="宋体"/>
                <w:color w:val="000000"/>
                <w:sz w:val="21"/>
                <w:szCs w:val="21"/>
                <w:lang w:val="en-US" w:eastAsia="zh-CN"/>
              </w:rPr>
              <w:t>提供</w:t>
            </w:r>
            <w:r>
              <w:rPr>
                <w:rFonts w:hint="eastAsia" w:ascii="宋体" w:hAnsi="宋体" w:cs="宋体"/>
                <w:color w:val="000000"/>
                <w:sz w:val="21"/>
                <w:szCs w:val="21"/>
              </w:rPr>
              <w:t>无锡大市排名数据、分板块数据管理页面</w:t>
            </w:r>
            <w:r>
              <w:rPr>
                <w:rFonts w:hint="eastAsia" w:ascii="宋体" w:hAnsi="宋体" w:cs="宋体"/>
                <w:color w:val="000000"/>
                <w:sz w:val="21"/>
                <w:szCs w:val="21"/>
                <w:lang w:val="en-US" w:eastAsia="zh-CN"/>
              </w:rPr>
              <w:t>；支持库表、人工、导入等多种数据接入方式。</w:t>
            </w:r>
          </w:p>
        </w:tc>
      </w:tr>
      <w:tr w14:paraId="39569A81">
        <w:tblPrEx>
          <w:tblCellMar>
            <w:top w:w="0" w:type="dxa"/>
            <w:left w:w="108" w:type="dxa"/>
            <w:bottom w:w="0" w:type="dxa"/>
            <w:right w:w="108" w:type="dxa"/>
          </w:tblCellMar>
        </w:tblPrEx>
        <w:trPr>
          <w:trHeight w:val="0" w:hRule="atLeast"/>
          <w:jc w:val="center"/>
        </w:trPr>
        <w:tc>
          <w:tcPr>
            <w:tcW w:w="355" w:type="pct"/>
            <w:tcBorders>
              <w:top w:val="single" w:color="auto" w:sz="4" w:space="0"/>
              <w:left w:val="single" w:color="auto" w:sz="4" w:space="0"/>
              <w:bottom w:val="single" w:color="auto" w:sz="4" w:space="0"/>
              <w:right w:val="single" w:color="auto" w:sz="4" w:space="0"/>
            </w:tcBorders>
            <w:noWrap/>
            <w:vAlign w:val="center"/>
          </w:tcPr>
          <w:p w14:paraId="69754C8D">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16</w:t>
            </w:r>
          </w:p>
        </w:tc>
        <w:tc>
          <w:tcPr>
            <w:tcW w:w="1056" w:type="pct"/>
            <w:vMerge w:val="continue"/>
            <w:tcBorders>
              <w:top w:val="single" w:color="auto" w:sz="4" w:space="0"/>
              <w:left w:val="single" w:color="auto" w:sz="4" w:space="0"/>
              <w:bottom w:val="single" w:color="auto" w:sz="4" w:space="0"/>
              <w:right w:val="single" w:color="auto" w:sz="4" w:space="0"/>
            </w:tcBorders>
            <w:noWrap/>
            <w:vAlign w:val="center"/>
          </w:tcPr>
          <w:p w14:paraId="72F74246">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top w:val="single" w:color="auto" w:sz="4" w:space="0"/>
              <w:left w:val="single" w:color="auto" w:sz="4" w:space="0"/>
              <w:bottom w:val="single" w:color="auto" w:sz="4" w:space="0"/>
              <w:right w:val="single" w:color="auto" w:sz="4" w:space="0"/>
            </w:tcBorders>
            <w:vAlign w:val="center"/>
          </w:tcPr>
          <w:p w14:paraId="0C963EE3">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auto" w:sz="4" w:space="0"/>
              <w:left w:val="single" w:color="auto" w:sz="4" w:space="0"/>
              <w:bottom w:val="single" w:color="auto" w:sz="4" w:space="0"/>
              <w:right w:val="single" w:color="auto" w:sz="4" w:space="0"/>
            </w:tcBorders>
            <w:vAlign w:val="center"/>
          </w:tcPr>
          <w:p w14:paraId="08497A6E">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实际利用外资</w:t>
            </w:r>
          </w:p>
        </w:tc>
        <w:tc>
          <w:tcPr>
            <w:tcW w:w="1791" w:type="pct"/>
            <w:tcBorders>
              <w:top w:val="single" w:color="auto" w:sz="4" w:space="0"/>
              <w:left w:val="single" w:color="auto" w:sz="4" w:space="0"/>
              <w:bottom w:val="single" w:color="auto" w:sz="4" w:space="0"/>
              <w:right w:val="single" w:color="auto" w:sz="4" w:space="0"/>
            </w:tcBorders>
            <w:vAlign w:val="center"/>
          </w:tcPr>
          <w:p w14:paraId="052D0DF9">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rPr>
              <w:t>提供实际利用外资</w:t>
            </w:r>
            <w:r>
              <w:rPr>
                <w:rFonts w:hint="eastAsia" w:ascii="宋体" w:hAnsi="宋体" w:cs="宋体"/>
                <w:color w:val="000000"/>
                <w:sz w:val="21"/>
                <w:szCs w:val="21"/>
                <w:lang w:val="en-US" w:eastAsia="zh-CN"/>
              </w:rPr>
              <w:t>数据全流程管理能力，可</w:t>
            </w:r>
            <w:r>
              <w:rPr>
                <w:rFonts w:hint="eastAsia" w:ascii="宋体" w:hAnsi="宋体" w:cs="宋体"/>
                <w:color w:val="000000"/>
                <w:sz w:val="21"/>
                <w:szCs w:val="21"/>
              </w:rPr>
              <w:t>分板块</w:t>
            </w:r>
            <w:r>
              <w:rPr>
                <w:rFonts w:hint="eastAsia" w:ascii="宋体" w:hAnsi="宋体" w:cs="宋体"/>
                <w:color w:val="000000"/>
                <w:sz w:val="21"/>
                <w:szCs w:val="21"/>
                <w:lang w:val="en-US" w:eastAsia="zh-CN"/>
              </w:rPr>
              <w:t>进行数据的管理；支持库表、人工、导入等多种数据接入方式。</w:t>
            </w:r>
          </w:p>
        </w:tc>
      </w:tr>
      <w:tr w14:paraId="147D85BB">
        <w:tblPrEx>
          <w:tblCellMar>
            <w:top w:w="0" w:type="dxa"/>
            <w:left w:w="108" w:type="dxa"/>
            <w:bottom w:w="0" w:type="dxa"/>
            <w:right w:w="108" w:type="dxa"/>
          </w:tblCellMar>
        </w:tblPrEx>
        <w:trPr>
          <w:trHeight w:val="0" w:hRule="atLeast"/>
          <w:jc w:val="center"/>
        </w:trPr>
        <w:tc>
          <w:tcPr>
            <w:tcW w:w="355" w:type="pct"/>
            <w:tcBorders>
              <w:top w:val="single" w:color="auto" w:sz="4" w:space="0"/>
              <w:left w:val="single" w:color="auto" w:sz="4" w:space="0"/>
              <w:bottom w:val="single" w:color="auto" w:sz="4" w:space="0"/>
              <w:right w:val="single" w:color="auto" w:sz="4" w:space="0"/>
            </w:tcBorders>
            <w:noWrap/>
            <w:vAlign w:val="center"/>
          </w:tcPr>
          <w:p w14:paraId="6945EB93">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17</w:t>
            </w:r>
          </w:p>
        </w:tc>
        <w:tc>
          <w:tcPr>
            <w:tcW w:w="1056" w:type="pct"/>
            <w:vMerge w:val="continue"/>
            <w:tcBorders>
              <w:top w:val="single" w:color="auto" w:sz="4" w:space="0"/>
              <w:left w:val="single" w:color="auto" w:sz="4" w:space="0"/>
              <w:bottom w:val="single" w:color="auto" w:sz="4" w:space="0"/>
              <w:right w:val="single" w:color="auto" w:sz="4" w:space="0"/>
            </w:tcBorders>
            <w:noWrap/>
            <w:vAlign w:val="center"/>
          </w:tcPr>
          <w:p w14:paraId="58E7890B">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top w:val="single" w:color="auto" w:sz="4" w:space="0"/>
              <w:left w:val="single" w:color="auto" w:sz="4" w:space="0"/>
              <w:bottom w:val="single" w:color="auto" w:sz="4" w:space="0"/>
              <w:right w:val="single" w:color="auto" w:sz="4" w:space="0"/>
            </w:tcBorders>
            <w:vAlign w:val="center"/>
          </w:tcPr>
          <w:p w14:paraId="7AC6EEC5">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auto" w:sz="4" w:space="0"/>
              <w:left w:val="single" w:color="auto" w:sz="4" w:space="0"/>
              <w:bottom w:val="single" w:color="auto" w:sz="4" w:space="0"/>
              <w:right w:val="single" w:color="auto" w:sz="4" w:space="0"/>
            </w:tcBorders>
            <w:vAlign w:val="center"/>
          </w:tcPr>
          <w:p w14:paraId="14E99054">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一般公共预算收入</w:t>
            </w:r>
          </w:p>
        </w:tc>
        <w:tc>
          <w:tcPr>
            <w:tcW w:w="1791" w:type="pct"/>
            <w:tcBorders>
              <w:top w:val="single" w:color="auto" w:sz="4" w:space="0"/>
              <w:left w:val="single" w:color="auto" w:sz="4" w:space="0"/>
              <w:bottom w:val="single" w:color="auto" w:sz="4" w:space="0"/>
              <w:right w:val="single" w:color="auto" w:sz="4" w:space="0"/>
            </w:tcBorders>
            <w:vAlign w:val="center"/>
          </w:tcPr>
          <w:p w14:paraId="1C50A74C">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rPr>
              <w:t>提供一般公共预算收入多维度页面展示、数据联动及规范化人工数据处理功能。</w:t>
            </w:r>
            <w:r>
              <w:rPr>
                <w:rFonts w:hint="eastAsia" w:ascii="宋体" w:hAnsi="宋体" w:cs="宋体"/>
                <w:color w:val="000000"/>
                <w:sz w:val="21"/>
                <w:szCs w:val="21"/>
                <w:lang w:val="en-US" w:eastAsia="zh-CN"/>
              </w:rPr>
              <w:t>提供相关</w:t>
            </w:r>
            <w:r>
              <w:rPr>
                <w:rFonts w:hint="eastAsia" w:ascii="宋体" w:hAnsi="宋体" w:cs="宋体"/>
                <w:color w:val="000000"/>
                <w:sz w:val="21"/>
                <w:szCs w:val="21"/>
              </w:rPr>
              <w:t>指标管理页面，</w:t>
            </w:r>
            <w:r>
              <w:rPr>
                <w:rFonts w:hint="eastAsia" w:ascii="宋体" w:hAnsi="宋体" w:cs="宋体"/>
                <w:color w:val="000000"/>
                <w:sz w:val="21"/>
                <w:szCs w:val="21"/>
                <w:lang w:val="en-US" w:eastAsia="zh-CN"/>
              </w:rPr>
              <w:t>可分板块、分行业、无锡地区等维度进行数据管理；支持库表、人工、导入等多种数据接入方式。</w:t>
            </w:r>
          </w:p>
        </w:tc>
      </w:tr>
      <w:tr w14:paraId="0B1702E4">
        <w:tblPrEx>
          <w:tblCellMar>
            <w:top w:w="0" w:type="dxa"/>
            <w:left w:w="108" w:type="dxa"/>
            <w:bottom w:w="0" w:type="dxa"/>
            <w:right w:w="108" w:type="dxa"/>
          </w:tblCellMar>
        </w:tblPrEx>
        <w:trPr>
          <w:trHeight w:val="0" w:hRule="atLeast"/>
          <w:jc w:val="center"/>
        </w:trPr>
        <w:tc>
          <w:tcPr>
            <w:tcW w:w="355" w:type="pct"/>
            <w:tcBorders>
              <w:top w:val="single" w:color="auto" w:sz="4" w:space="0"/>
              <w:left w:val="single" w:color="auto" w:sz="4" w:space="0"/>
              <w:bottom w:val="single" w:color="auto" w:sz="4" w:space="0"/>
              <w:right w:val="single" w:color="auto" w:sz="4" w:space="0"/>
            </w:tcBorders>
            <w:noWrap/>
            <w:vAlign w:val="center"/>
          </w:tcPr>
          <w:p w14:paraId="6F71C50E">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18</w:t>
            </w:r>
          </w:p>
        </w:tc>
        <w:tc>
          <w:tcPr>
            <w:tcW w:w="1056" w:type="pct"/>
            <w:vMerge w:val="continue"/>
            <w:tcBorders>
              <w:top w:val="single" w:color="auto" w:sz="4" w:space="0"/>
              <w:left w:val="single" w:color="auto" w:sz="4" w:space="0"/>
              <w:bottom w:val="single" w:color="auto" w:sz="4" w:space="0"/>
              <w:right w:val="single" w:color="auto" w:sz="4" w:space="0"/>
            </w:tcBorders>
            <w:noWrap/>
            <w:vAlign w:val="center"/>
          </w:tcPr>
          <w:p w14:paraId="31F3F3FC">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top w:val="single" w:color="auto" w:sz="4" w:space="0"/>
              <w:left w:val="single" w:color="auto" w:sz="4" w:space="0"/>
              <w:bottom w:val="single" w:color="auto" w:sz="4" w:space="0"/>
              <w:right w:val="single" w:color="auto" w:sz="4" w:space="0"/>
            </w:tcBorders>
            <w:vAlign w:val="center"/>
          </w:tcPr>
          <w:p w14:paraId="4EA9C908">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auto" w:sz="4" w:space="0"/>
              <w:left w:val="single" w:color="auto" w:sz="4" w:space="0"/>
              <w:bottom w:val="single" w:color="auto" w:sz="4" w:space="0"/>
              <w:right w:val="single" w:color="auto" w:sz="4" w:space="0"/>
            </w:tcBorders>
            <w:vAlign w:val="center"/>
          </w:tcPr>
          <w:p w14:paraId="45C59218">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rPr>
            </w:pPr>
            <w:r>
              <w:rPr>
                <w:rFonts w:hint="eastAsia" w:ascii="宋体" w:hAnsi="宋体" w:cs="宋体"/>
                <w:color w:val="000000"/>
                <w:sz w:val="21"/>
                <w:szCs w:val="21"/>
              </w:rPr>
              <w:t>金融存贷款余额</w:t>
            </w:r>
          </w:p>
        </w:tc>
        <w:tc>
          <w:tcPr>
            <w:tcW w:w="1791" w:type="pct"/>
            <w:tcBorders>
              <w:top w:val="single" w:color="auto" w:sz="4" w:space="0"/>
              <w:left w:val="single" w:color="auto" w:sz="4" w:space="0"/>
              <w:bottom w:val="single" w:color="auto" w:sz="4" w:space="0"/>
              <w:right w:val="single" w:color="auto" w:sz="4" w:space="0"/>
            </w:tcBorders>
            <w:vAlign w:val="center"/>
          </w:tcPr>
          <w:p w14:paraId="0B123451">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rPr>
              <w:t>提供金融存贷款余额数据展示、联动解析及规范化人工处理等功能。</w:t>
            </w:r>
            <w:r>
              <w:rPr>
                <w:rFonts w:hint="eastAsia" w:ascii="宋体" w:hAnsi="宋体" w:cs="宋体"/>
                <w:color w:val="000000"/>
                <w:sz w:val="21"/>
                <w:szCs w:val="21"/>
                <w:lang w:val="en-US" w:eastAsia="zh-CN"/>
              </w:rPr>
              <w:t>提供</w:t>
            </w:r>
            <w:r>
              <w:rPr>
                <w:rFonts w:hint="eastAsia" w:ascii="宋体" w:hAnsi="宋体" w:cs="宋体"/>
                <w:color w:val="000000"/>
                <w:sz w:val="21"/>
                <w:szCs w:val="21"/>
              </w:rPr>
              <w:t>指标管理页面，</w:t>
            </w:r>
            <w:r>
              <w:rPr>
                <w:rFonts w:hint="eastAsia" w:ascii="宋体" w:hAnsi="宋体" w:cs="宋体"/>
                <w:color w:val="000000"/>
                <w:sz w:val="21"/>
                <w:szCs w:val="21"/>
                <w:lang w:val="en-US" w:eastAsia="zh-CN"/>
              </w:rPr>
              <w:t>可分</w:t>
            </w:r>
            <w:r>
              <w:rPr>
                <w:rFonts w:hint="eastAsia" w:ascii="宋体" w:hAnsi="宋体" w:cs="宋体"/>
                <w:color w:val="000000"/>
                <w:sz w:val="21"/>
                <w:szCs w:val="21"/>
              </w:rPr>
              <w:t>金融存贷款余额、金融存款余额、金融贷款余额</w:t>
            </w:r>
            <w:r>
              <w:rPr>
                <w:rFonts w:hint="eastAsia" w:ascii="宋体" w:hAnsi="宋体" w:cs="宋体"/>
                <w:color w:val="000000"/>
                <w:sz w:val="21"/>
                <w:szCs w:val="21"/>
                <w:lang w:val="en-US" w:eastAsia="zh-CN"/>
              </w:rPr>
              <w:t>等细分维度进行数据管理；支持库表、人工、导入等多种数据接入方式。</w:t>
            </w:r>
          </w:p>
        </w:tc>
      </w:tr>
      <w:tr w14:paraId="007032F0">
        <w:tblPrEx>
          <w:tblCellMar>
            <w:top w:w="0" w:type="dxa"/>
            <w:left w:w="108" w:type="dxa"/>
            <w:bottom w:w="0" w:type="dxa"/>
            <w:right w:w="108" w:type="dxa"/>
          </w:tblCellMar>
        </w:tblPrEx>
        <w:trPr>
          <w:trHeight w:val="0" w:hRule="atLeast"/>
          <w:jc w:val="center"/>
        </w:trPr>
        <w:tc>
          <w:tcPr>
            <w:tcW w:w="355" w:type="pct"/>
            <w:tcBorders>
              <w:top w:val="single" w:color="auto" w:sz="4" w:space="0"/>
              <w:left w:val="single" w:color="000000" w:sz="4" w:space="0"/>
              <w:bottom w:val="single" w:color="000000" w:sz="4" w:space="0"/>
              <w:right w:val="single" w:color="auto" w:sz="4" w:space="0"/>
            </w:tcBorders>
            <w:noWrap/>
            <w:vAlign w:val="center"/>
          </w:tcPr>
          <w:p w14:paraId="6E698739">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19</w:t>
            </w:r>
          </w:p>
        </w:tc>
        <w:tc>
          <w:tcPr>
            <w:tcW w:w="1056" w:type="pct"/>
            <w:vMerge w:val="continue"/>
            <w:tcBorders>
              <w:top w:val="single" w:color="auto" w:sz="4" w:space="0"/>
              <w:left w:val="single" w:color="auto" w:sz="4" w:space="0"/>
              <w:right w:val="single" w:color="000000" w:sz="4" w:space="0"/>
            </w:tcBorders>
            <w:noWrap/>
            <w:vAlign w:val="center"/>
          </w:tcPr>
          <w:p w14:paraId="51176289">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top w:val="single" w:color="auto" w:sz="4" w:space="0"/>
              <w:left w:val="single" w:color="000000" w:sz="4" w:space="0"/>
              <w:right w:val="single" w:color="000000" w:sz="4" w:space="0"/>
            </w:tcBorders>
            <w:vAlign w:val="center"/>
          </w:tcPr>
          <w:p w14:paraId="26B8B8F7">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auto" w:sz="4" w:space="0"/>
              <w:left w:val="single" w:color="000000" w:sz="4" w:space="0"/>
              <w:bottom w:val="single" w:color="000000" w:sz="4" w:space="0"/>
              <w:right w:val="single" w:color="000000" w:sz="4" w:space="0"/>
            </w:tcBorders>
            <w:vAlign w:val="center"/>
          </w:tcPr>
          <w:p w14:paraId="119036A2">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rPr>
            </w:pPr>
            <w:r>
              <w:rPr>
                <w:rFonts w:hint="eastAsia" w:ascii="宋体" w:hAnsi="宋体" w:cs="宋体"/>
                <w:color w:val="000000"/>
                <w:sz w:val="21"/>
                <w:szCs w:val="21"/>
              </w:rPr>
              <w:t>信心指数</w:t>
            </w:r>
          </w:p>
        </w:tc>
        <w:tc>
          <w:tcPr>
            <w:tcW w:w="1791" w:type="pct"/>
            <w:tcBorders>
              <w:top w:val="single" w:color="auto" w:sz="4" w:space="0"/>
              <w:left w:val="single" w:color="000000" w:sz="4" w:space="0"/>
              <w:bottom w:val="single" w:color="000000" w:sz="4" w:space="0"/>
              <w:right w:val="single" w:color="000000" w:sz="4" w:space="0"/>
            </w:tcBorders>
            <w:vAlign w:val="center"/>
          </w:tcPr>
          <w:p w14:paraId="47B4883A">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rPr>
              <w:t>提供信心指数数据展示、联动解析及规范化人工处理功能。</w:t>
            </w:r>
            <w:r>
              <w:rPr>
                <w:rFonts w:hint="eastAsia" w:ascii="宋体" w:hAnsi="宋体" w:cs="宋体"/>
                <w:color w:val="000000"/>
                <w:sz w:val="21"/>
                <w:szCs w:val="21"/>
                <w:lang w:val="en-US" w:eastAsia="zh-CN"/>
              </w:rPr>
              <w:t>提供</w:t>
            </w:r>
            <w:r>
              <w:rPr>
                <w:rFonts w:hint="eastAsia" w:ascii="宋体" w:hAnsi="宋体" w:cs="宋体"/>
                <w:color w:val="000000"/>
                <w:sz w:val="21"/>
                <w:szCs w:val="21"/>
              </w:rPr>
              <w:t>指标管理页面，</w:t>
            </w:r>
            <w:r>
              <w:rPr>
                <w:rFonts w:hint="eastAsia" w:ascii="宋体" w:hAnsi="宋体" w:cs="宋体"/>
                <w:color w:val="000000"/>
                <w:sz w:val="21"/>
                <w:szCs w:val="21"/>
                <w:lang w:val="en-US" w:eastAsia="zh-CN"/>
              </w:rPr>
              <w:t>可从价格指数和居民人均可支配收入等维度进行管理；支持库表、人工、导入等多种数据接入方式。</w:t>
            </w:r>
          </w:p>
        </w:tc>
      </w:tr>
      <w:tr w14:paraId="74D54664">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6ADF5D68">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20</w:t>
            </w:r>
          </w:p>
        </w:tc>
        <w:tc>
          <w:tcPr>
            <w:tcW w:w="1056" w:type="pct"/>
            <w:vMerge w:val="continue"/>
            <w:tcBorders>
              <w:left w:val="single" w:color="auto" w:sz="4" w:space="0"/>
              <w:right w:val="single" w:color="000000" w:sz="4" w:space="0"/>
            </w:tcBorders>
            <w:noWrap/>
            <w:vAlign w:val="center"/>
          </w:tcPr>
          <w:p w14:paraId="1F3142B3">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left w:val="single" w:color="000000" w:sz="4" w:space="0"/>
              <w:right w:val="single" w:color="000000" w:sz="4" w:space="0"/>
            </w:tcBorders>
            <w:vAlign w:val="center"/>
          </w:tcPr>
          <w:p w14:paraId="3494CA5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711C4F0D">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rPr>
            </w:pPr>
            <w:r>
              <w:rPr>
                <w:rFonts w:hint="eastAsia" w:ascii="宋体" w:hAnsi="宋体" w:cs="宋体"/>
                <w:color w:val="000000"/>
                <w:sz w:val="21"/>
                <w:szCs w:val="21"/>
              </w:rPr>
              <w:t>市场主体</w:t>
            </w:r>
          </w:p>
        </w:tc>
        <w:tc>
          <w:tcPr>
            <w:tcW w:w="1791" w:type="pct"/>
            <w:tcBorders>
              <w:top w:val="single" w:color="000000" w:sz="4" w:space="0"/>
              <w:left w:val="single" w:color="000000" w:sz="4" w:space="0"/>
              <w:bottom w:val="single" w:color="000000" w:sz="4" w:space="0"/>
              <w:right w:val="single" w:color="000000" w:sz="4" w:space="0"/>
            </w:tcBorders>
            <w:vAlign w:val="center"/>
          </w:tcPr>
          <w:p w14:paraId="25BC8DEB">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rPr>
              <w:t>提供市场主体数据整合展示、前后端联动及规范化人工数据处理功能。</w:t>
            </w:r>
            <w:r>
              <w:rPr>
                <w:rFonts w:hint="eastAsia" w:ascii="宋体" w:hAnsi="宋体" w:cs="宋体"/>
                <w:color w:val="000000"/>
                <w:sz w:val="21"/>
                <w:szCs w:val="21"/>
                <w:lang w:val="en-US" w:eastAsia="zh-CN"/>
              </w:rPr>
              <w:t>提供</w:t>
            </w:r>
            <w:r>
              <w:rPr>
                <w:rFonts w:hint="eastAsia" w:ascii="宋体" w:hAnsi="宋体" w:cs="宋体"/>
                <w:color w:val="000000"/>
                <w:sz w:val="21"/>
                <w:szCs w:val="21"/>
              </w:rPr>
              <w:t>指标管理页面，</w:t>
            </w:r>
            <w:r>
              <w:rPr>
                <w:rFonts w:hint="eastAsia" w:ascii="宋体" w:hAnsi="宋体" w:cs="宋体"/>
                <w:color w:val="000000"/>
                <w:sz w:val="21"/>
                <w:szCs w:val="21"/>
                <w:lang w:val="en-US" w:eastAsia="zh-CN"/>
              </w:rPr>
              <w:t>可分不同类型市场主体进行数据管理；支持库表、人工、导入等多种数据接入方式。</w:t>
            </w:r>
          </w:p>
        </w:tc>
      </w:tr>
      <w:tr w14:paraId="47772BD0">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53AA0928">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21</w:t>
            </w:r>
          </w:p>
        </w:tc>
        <w:tc>
          <w:tcPr>
            <w:tcW w:w="1056" w:type="pct"/>
            <w:vMerge w:val="continue"/>
            <w:tcBorders>
              <w:left w:val="single" w:color="auto" w:sz="4" w:space="0"/>
              <w:right w:val="single" w:color="000000" w:sz="4" w:space="0"/>
            </w:tcBorders>
            <w:noWrap/>
            <w:vAlign w:val="center"/>
          </w:tcPr>
          <w:p w14:paraId="023C5534">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left w:val="single" w:color="000000" w:sz="4" w:space="0"/>
              <w:bottom w:val="single" w:color="000000" w:sz="4" w:space="0"/>
              <w:right w:val="single" w:color="000000" w:sz="4" w:space="0"/>
            </w:tcBorders>
            <w:vAlign w:val="center"/>
          </w:tcPr>
          <w:p w14:paraId="61AD7A46">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148B4E4D">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rPr>
            </w:pPr>
            <w:r>
              <w:rPr>
                <w:rFonts w:hint="eastAsia" w:ascii="宋体" w:hAnsi="宋体" w:cs="宋体"/>
                <w:color w:val="000000"/>
                <w:sz w:val="21"/>
                <w:szCs w:val="21"/>
              </w:rPr>
              <w:t>就业情况</w:t>
            </w:r>
          </w:p>
        </w:tc>
        <w:tc>
          <w:tcPr>
            <w:tcW w:w="1791" w:type="pct"/>
            <w:tcBorders>
              <w:top w:val="single" w:color="000000" w:sz="4" w:space="0"/>
              <w:left w:val="single" w:color="000000" w:sz="4" w:space="0"/>
              <w:bottom w:val="single" w:color="000000" w:sz="4" w:space="0"/>
              <w:right w:val="single" w:color="000000" w:sz="4" w:space="0"/>
            </w:tcBorders>
            <w:vAlign w:val="center"/>
          </w:tcPr>
          <w:p w14:paraId="5D6720DD">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rPr>
              <w:t>提供就业情况数据整合展示、前后端联动及规范化人工处理功能。</w:t>
            </w:r>
            <w:r>
              <w:rPr>
                <w:rFonts w:hint="eastAsia" w:ascii="宋体" w:hAnsi="宋体" w:cs="宋体"/>
                <w:color w:val="000000"/>
                <w:sz w:val="21"/>
                <w:szCs w:val="21"/>
                <w:lang w:val="en-US" w:eastAsia="zh-CN"/>
              </w:rPr>
              <w:t>提供</w:t>
            </w:r>
            <w:r>
              <w:rPr>
                <w:rFonts w:hint="eastAsia" w:ascii="宋体" w:hAnsi="宋体" w:cs="宋体"/>
                <w:color w:val="000000"/>
                <w:sz w:val="21"/>
                <w:szCs w:val="21"/>
              </w:rPr>
              <w:t>指标管理页面，</w:t>
            </w:r>
            <w:r>
              <w:rPr>
                <w:rFonts w:hint="eastAsia" w:ascii="宋体" w:hAnsi="宋体" w:cs="宋体"/>
                <w:color w:val="000000"/>
                <w:sz w:val="21"/>
                <w:szCs w:val="21"/>
                <w:lang w:val="en-US" w:eastAsia="zh-CN"/>
              </w:rPr>
              <w:t>可分就业和失业两个维度进行数据管理；支持库表、人工、导入等多种数据接入方式。</w:t>
            </w:r>
          </w:p>
        </w:tc>
      </w:tr>
      <w:tr w14:paraId="0B4EB02B">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2605B3B2">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22</w:t>
            </w:r>
          </w:p>
        </w:tc>
        <w:tc>
          <w:tcPr>
            <w:tcW w:w="1056" w:type="pct"/>
            <w:vMerge w:val="continue"/>
            <w:tcBorders>
              <w:left w:val="single" w:color="auto" w:sz="4" w:space="0"/>
              <w:right w:val="single" w:color="000000" w:sz="4" w:space="0"/>
            </w:tcBorders>
            <w:noWrap/>
            <w:vAlign w:val="center"/>
          </w:tcPr>
          <w:p w14:paraId="00F554B1">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restart"/>
            <w:tcBorders>
              <w:top w:val="single" w:color="000000" w:sz="4" w:space="0"/>
              <w:left w:val="single" w:color="000000" w:sz="4" w:space="0"/>
              <w:right w:val="single" w:color="000000" w:sz="4" w:space="0"/>
            </w:tcBorders>
            <w:vAlign w:val="center"/>
          </w:tcPr>
          <w:p w14:paraId="5361CD78">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预警监测中心</w:t>
            </w:r>
          </w:p>
        </w:tc>
        <w:tc>
          <w:tcPr>
            <w:tcW w:w="840" w:type="pct"/>
            <w:tcBorders>
              <w:top w:val="single" w:color="000000" w:sz="4" w:space="0"/>
              <w:left w:val="single" w:color="000000" w:sz="4" w:space="0"/>
              <w:bottom w:val="single" w:color="000000" w:sz="4" w:space="0"/>
              <w:right w:val="single" w:color="000000" w:sz="4" w:space="0"/>
            </w:tcBorders>
            <w:vAlign w:val="center"/>
          </w:tcPr>
          <w:p w14:paraId="05397C15">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rPr>
            </w:pPr>
            <w:r>
              <w:rPr>
                <w:rFonts w:hint="eastAsia" w:ascii="宋体" w:hAnsi="宋体" w:cs="宋体"/>
                <w:color w:val="000000"/>
                <w:sz w:val="21"/>
                <w:szCs w:val="21"/>
              </w:rPr>
              <w:t>基础预警模块</w:t>
            </w:r>
          </w:p>
        </w:tc>
        <w:tc>
          <w:tcPr>
            <w:tcW w:w="1791" w:type="pct"/>
            <w:tcBorders>
              <w:top w:val="single" w:color="000000" w:sz="4" w:space="0"/>
              <w:left w:val="single" w:color="000000" w:sz="4" w:space="0"/>
              <w:bottom w:val="single" w:color="000000" w:sz="4" w:space="0"/>
              <w:right w:val="single" w:color="000000" w:sz="4" w:space="0"/>
            </w:tcBorders>
            <w:vAlign w:val="center"/>
          </w:tcPr>
          <w:p w14:paraId="7629C802">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提供预警模型、</w:t>
            </w:r>
            <w:r>
              <w:rPr>
                <w:rFonts w:hint="eastAsia" w:ascii="宋体" w:hAnsi="宋体" w:cs="宋体"/>
                <w:color w:val="000000"/>
                <w:sz w:val="21"/>
                <w:szCs w:val="21"/>
                <w:lang w:val="en-US" w:eastAsia="zh-CN"/>
              </w:rPr>
              <w:t>触发</w:t>
            </w:r>
            <w:r>
              <w:rPr>
                <w:rFonts w:hint="eastAsia" w:ascii="宋体" w:hAnsi="宋体" w:cs="宋体"/>
                <w:color w:val="000000"/>
                <w:sz w:val="21"/>
                <w:szCs w:val="21"/>
              </w:rPr>
              <w:t>规则、</w:t>
            </w:r>
            <w:r>
              <w:rPr>
                <w:rFonts w:hint="eastAsia" w:ascii="宋体" w:hAnsi="宋体" w:cs="宋体"/>
                <w:color w:val="000000"/>
                <w:sz w:val="21"/>
                <w:szCs w:val="21"/>
                <w:lang w:val="en-US" w:eastAsia="zh-CN"/>
              </w:rPr>
              <w:t>运行周期</w:t>
            </w:r>
            <w:r>
              <w:rPr>
                <w:rFonts w:hint="eastAsia" w:ascii="宋体" w:hAnsi="宋体" w:cs="宋体"/>
                <w:color w:val="000000"/>
                <w:sz w:val="21"/>
                <w:szCs w:val="21"/>
              </w:rPr>
              <w:t>全流程管理功能及配套操作</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支持</w:t>
            </w:r>
            <w:r>
              <w:rPr>
                <w:rFonts w:hint="eastAsia" w:ascii="宋体" w:hAnsi="宋体" w:cs="宋体"/>
                <w:color w:val="000000"/>
                <w:sz w:val="21"/>
                <w:szCs w:val="21"/>
              </w:rPr>
              <w:t>定时</w:t>
            </w:r>
            <w:r>
              <w:rPr>
                <w:rFonts w:hint="eastAsia" w:ascii="宋体" w:hAnsi="宋体" w:cs="宋体"/>
                <w:color w:val="000000"/>
                <w:sz w:val="21"/>
                <w:szCs w:val="21"/>
                <w:lang w:val="en-US" w:eastAsia="zh-CN"/>
              </w:rPr>
              <w:t>预警服务</w:t>
            </w:r>
            <w:r>
              <w:rPr>
                <w:rFonts w:hint="eastAsia" w:ascii="宋体" w:hAnsi="宋体" w:cs="宋体"/>
                <w:color w:val="000000"/>
                <w:sz w:val="21"/>
                <w:szCs w:val="21"/>
              </w:rPr>
              <w:t>，支持服务的启动、停止操作，实时状态监控及详细日志记录能力</w:t>
            </w:r>
            <w:r>
              <w:rPr>
                <w:rFonts w:hint="eastAsia" w:ascii="宋体" w:hAnsi="宋体" w:cs="宋体"/>
                <w:color w:val="000000"/>
                <w:sz w:val="21"/>
                <w:szCs w:val="21"/>
                <w:lang w:eastAsia="zh-CN"/>
              </w:rPr>
              <w:t>。</w:t>
            </w:r>
          </w:p>
        </w:tc>
      </w:tr>
      <w:tr w14:paraId="16DC3E62">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3805AD60">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23</w:t>
            </w:r>
          </w:p>
        </w:tc>
        <w:tc>
          <w:tcPr>
            <w:tcW w:w="1056" w:type="pct"/>
            <w:vMerge w:val="continue"/>
            <w:tcBorders>
              <w:left w:val="single" w:color="auto" w:sz="4" w:space="0"/>
              <w:right w:val="single" w:color="000000" w:sz="4" w:space="0"/>
            </w:tcBorders>
            <w:noWrap/>
            <w:vAlign w:val="center"/>
          </w:tcPr>
          <w:p w14:paraId="6C6C9410">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left w:val="single" w:color="000000" w:sz="4" w:space="0"/>
              <w:right w:val="single" w:color="000000" w:sz="4" w:space="0"/>
            </w:tcBorders>
            <w:vAlign w:val="center"/>
          </w:tcPr>
          <w:p w14:paraId="794A4B31">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19918A3D">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rPr>
            </w:pPr>
            <w:r>
              <w:rPr>
                <w:rFonts w:hint="eastAsia" w:ascii="宋体" w:hAnsi="宋体" w:cs="宋体"/>
                <w:color w:val="000000"/>
                <w:sz w:val="21"/>
                <w:szCs w:val="21"/>
              </w:rPr>
              <w:t>专题预警-企业异常</w:t>
            </w:r>
          </w:p>
        </w:tc>
        <w:tc>
          <w:tcPr>
            <w:tcW w:w="1791" w:type="pct"/>
            <w:tcBorders>
              <w:top w:val="single" w:color="000000" w:sz="4" w:space="0"/>
              <w:left w:val="single" w:color="000000" w:sz="4" w:space="0"/>
              <w:bottom w:val="single" w:color="000000" w:sz="4" w:space="0"/>
              <w:right w:val="single" w:color="000000" w:sz="4" w:space="0"/>
            </w:tcBorders>
            <w:vAlign w:val="center"/>
          </w:tcPr>
          <w:p w14:paraId="203F065F">
            <w:pPr>
              <w:widowControl/>
              <w:snapToGrid w:val="0"/>
              <w:spacing w:line="240" w:lineRule="auto"/>
              <w:ind w:left="0" w:leftChars="0" w:right="0" w:rightChars="0" w:firstLine="0" w:firstLineChars="0"/>
              <w:jc w:val="both"/>
              <w:textAlignment w:val="center"/>
              <w:rPr>
                <w:rFonts w:ascii="宋体" w:hAnsi="宋体" w:cs="宋体"/>
                <w:color w:val="000000"/>
                <w:sz w:val="21"/>
                <w:szCs w:val="21"/>
              </w:rPr>
            </w:pPr>
            <w:r>
              <w:rPr>
                <w:rFonts w:hint="eastAsia" w:ascii="宋体" w:hAnsi="宋体" w:cs="宋体"/>
                <w:color w:val="000000"/>
                <w:sz w:val="21"/>
                <w:szCs w:val="21"/>
                <w:lang w:val="en-US" w:eastAsia="zh-CN"/>
              </w:rPr>
              <w:t>提供企业异常预警监测模型</w:t>
            </w:r>
            <w:r>
              <w:rPr>
                <w:rFonts w:hint="eastAsia" w:ascii="宋体" w:hAnsi="宋体" w:cs="宋体"/>
                <w:color w:val="000000"/>
                <w:sz w:val="21"/>
                <w:szCs w:val="21"/>
              </w:rPr>
              <w:t>，</w:t>
            </w:r>
            <w:r>
              <w:rPr>
                <w:rFonts w:hint="eastAsia" w:ascii="宋体" w:hAnsi="宋体" w:cs="宋体"/>
                <w:color w:val="000000"/>
                <w:sz w:val="21"/>
                <w:szCs w:val="21"/>
                <w:lang w:val="en-US" w:eastAsia="zh-CN"/>
              </w:rPr>
              <w:t>包括企业</w:t>
            </w:r>
            <w:r>
              <w:rPr>
                <w:rFonts w:hint="eastAsia" w:ascii="宋体" w:hAnsi="宋体" w:cs="宋体"/>
                <w:color w:val="000000"/>
                <w:sz w:val="21"/>
                <w:szCs w:val="21"/>
              </w:rPr>
              <w:t>迁出、法人变更、地址变更、经营异常、破产重整</w:t>
            </w:r>
            <w:r>
              <w:rPr>
                <w:rFonts w:hint="eastAsia" w:ascii="宋体" w:hAnsi="宋体" w:cs="宋体"/>
                <w:color w:val="000000"/>
                <w:sz w:val="21"/>
                <w:szCs w:val="21"/>
                <w:lang w:val="en-US" w:eastAsia="zh-CN"/>
              </w:rPr>
              <w:t>等</w:t>
            </w:r>
            <w:r>
              <w:rPr>
                <w:rFonts w:hint="eastAsia" w:ascii="宋体" w:hAnsi="宋体" w:cs="宋体"/>
                <w:color w:val="000000"/>
                <w:sz w:val="21"/>
                <w:szCs w:val="21"/>
              </w:rPr>
              <w:t>风险场景。</w:t>
            </w:r>
            <w:r>
              <w:rPr>
                <w:rFonts w:hint="eastAsia" w:ascii="宋体" w:hAnsi="宋体" w:cs="宋体"/>
                <w:color w:val="000000"/>
                <w:sz w:val="21"/>
                <w:szCs w:val="21"/>
                <w:lang w:val="en-US" w:eastAsia="zh-CN"/>
              </w:rPr>
              <w:t>支持</w:t>
            </w:r>
            <w:r>
              <w:rPr>
                <w:rFonts w:hint="eastAsia" w:ascii="宋体" w:hAnsi="宋体" w:cs="宋体"/>
                <w:color w:val="000000"/>
                <w:sz w:val="21"/>
                <w:szCs w:val="21"/>
              </w:rPr>
              <w:t>自由组合</w:t>
            </w:r>
            <w:r>
              <w:rPr>
                <w:rFonts w:hint="eastAsia" w:ascii="宋体" w:hAnsi="宋体" w:cs="宋体"/>
                <w:color w:val="000000"/>
                <w:sz w:val="21"/>
                <w:szCs w:val="21"/>
                <w:lang w:val="en-US" w:eastAsia="zh-CN"/>
              </w:rPr>
              <w:t>监测</w:t>
            </w:r>
            <w:r>
              <w:rPr>
                <w:rFonts w:hint="eastAsia" w:ascii="宋体" w:hAnsi="宋体" w:cs="宋体"/>
                <w:color w:val="000000"/>
                <w:sz w:val="21"/>
                <w:szCs w:val="21"/>
              </w:rPr>
              <w:t>周期、触发逻辑、预警对象范围</w:t>
            </w:r>
            <w:r>
              <w:rPr>
                <w:rFonts w:hint="eastAsia" w:ascii="宋体" w:hAnsi="宋体" w:cs="宋体"/>
                <w:color w:val="000000"/>
                <w:sz w:val="21"/>
                <w:szCs w:val="21"/>
                <w:lang w:val="en-US" w:eastAsia="zh-CN"/>
              </w:rPr>
              <w:t>等配置</w:t>
            </w:r>
            <w:r>
              <w:rPr>
                <w:rFonts w:hint="eastAsia" w:ascii="宋体" w:hAnsi="宋体" w:cs="宋体"/>
                <w:color w:val="000000"/>
                <w:sz w:val="21"/>
                <w:szCs w:val="21"/>
              </w:rPr>
              <w:t>。</w:t>
            </w:r>
          </w:p>
        </w:tc>
      </w:tr>
      <w:tr w14:paraId="2E96F01B">
        <w:tblPrEx>
          <w:tblCellMar>
            <w:top w:w="0" w:type="dxa"/>
            <w:left w:w="108" w:type="dxa"/>
            <w:bottom w:w="0" w:type="dxa"/>
            <w:right w:w="108" w:type="dxa"/>
          </w:tblCellMar>
        </w:tblPrEx>
        <w:trPr>
          <w:trHeight w:val="0" w:hRule="atLeast"/>
          <w:jc w:val="center"/>
        </w:trPr>
        <w:tc>
          <w:tcPr>
            <w:tcW w:w="355" w:type="pct"/>
            <w:tcBorders>
              <w:top w:val="single" w:color="000000" w:sz="4" w:space="0"/>
              <w:left w:val="single" w:color="000000" w:sz="4" w:space="0"/>
              <w:bottom w:val="single" w:color="000000" w:sz="4" w:space="0"/>
              <w:right w:val="single" w:color="auto" w:sz="4" w:space="0"/>
            </w:tcBorders>
            <w:noWrap/>
            <w:vAlign w:val="center"/>
          </w:tcPr>
          <w:p w14:paraId="1361536D">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24</w:t>
            </w:r>
          </w:p>
        </w:tc>
        <w:tc>
          <w:tcPr>
            <w:tcW w:w="1056" w:type="pct"/>
            <w:vMerge w:val="continue"/>
            <w:tcBorders>
              <w:left w:val="single" w:color="auto" w:sz="4" w:space="0"/>
              <w:bottom w:val="single" w:color="000000" w:sz="4" w:space="0"/>
              <w:right w:val="single" w:color="000000" w:sz="4" w:space="0"/>
            </w:tcBorders>
            <w:noWrap/>
            <w:vAlign w:val="center"/>
          </w:tcPr>
          <w:p w14:paraId="6183B100">
            <w:pPr>
              <w:widowControl/>
              <w:snapToGrid w:val="0"/>
              <w:spacing w:line="240" w:lineRule="auto"/>
              <w:ind w:left="0" w:leftChars="0" w:right="0" w:rightChars="0" w:firstLine="0" w:firstLineChars="0"/>
              <w:jc w:val="center"/>
              <w:rPr>
                <w:rFonts w:ascii="宋体" w:hAnsi="宋体" w:cs="宋体"/>
                <w:color w:val="000000"/>
                <w:sz w:val="21"/>
                <w:szCs w:val="21"/>
              </w:rPr>
            </w:pPr>
          </w:p>
        </w:tc>
        <w:tc>
          <w:tcPr>
            <w:tcW w:w="956" w:type="pct"/>
            <w:vMerge w:val="continue"/>
            <w:tcBorders>
              <w:left w:val="single" w:color="000000" w:sz="4" w:space="0"/>
              <w:bottom w:val="single" w:color="000000" w:sz="4" w:space="0"/>
              <w:right w:val="single" w:color="000000" w:sz="4" w:space="0"/>
            </w:tcBorders>
            <w:vAlign w:val="center"/>
          </w:tcPr>
          <w:p w14:paraId="181D62A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bidi="ar"/>
              </w:rPr>
            </w:pPr>
          </w:p>
        </w:tc>
        <w:tc>
          <w:tcPr>
            <w:tcW w:w="840" w:type="pct"/>
            <w:tcBorders>
              <w:top w:val="single" w:color="000000" w:sz="4" w:space="0"/>
              <w:left w:val="single" w:color="000000" w:sz="4" w:space="0"/>
              <w:bottom w:val="single" w:color="000000" w:sz="4" w:space="0"/>
              <w:right w:val="single" w:color="000000" w:sz="4" w:space="0"/>
            </w:tcBorders>
            <w:vAlign w:val="center"/>
          </w:tcPr>
          <w:p w14:paraId="5591DC91">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rPr>
            </w:pPr>
            <w:r>
              <w:rPr>
                <w:rFonts w:hint="eastAsia" w:ascii="宋体" w:hAnsi="宋体" w:cs="宋体"/>
                <w:color w:val="000000"/>
                <w:sz w:val="21"/>
                <w:szCs w:val="21"/>
              </w:rPr>
              <w:t>专题预警-企业产值税收</w:t>
            </w:r>
          </w:p>
        </w:tc>
        <w:tc>
          <w:tcPr>
            <w:tcW w:w="1791" w:type="pct"/>
            <w:tcBorders>
              <w:top w:val="single" w:color="000000" w:sz="4" w:space="0"/>
              <w:left w:val="single" w:color="000000" w:sz="4" w:space="0"/>
              <w:bottom w:val="single" w:color="000000" w:sz="4" w:space="0"/>
              <w:right w:val="single" w:color="000000" w:sz="4" w:space="0"/>
            </w:tcBorders>
            <w:vAlign w:val="center"/>
          </w:tcPr>
          <w:p w14:paraId="0423099F">
            <w:pPr>
              <w:widowControl/>
              <w:snapToGrid w:val="0"/>
              <w:spacing w:line="240" w:lineRule="auto"/>
              <w:ind w:left="0" w:leftChars="0" w:right="0" w:rightChars="0" w:firstLine="0" w:firstLineChars="0"/>
              <w:jc w:val="both"/>
              <w:textAlignment w:val="center"/>
              <w:rPr>
                <w:rFonts w:ascii="宋体" w:hAnsi="宋体" w:cs="宋体"/>
                <w:color w:val="000000"/>
                <w:sz w:val="21"/>
                <w:szCs w:val="21"/>
              </w:rPr>
            </w:pPr>
            <w:r>
              <w:rPr>
                <w:rFonts w:hint="eastAsia" w:ascii="宋体" w:hAnsi="宋体" w:cs="宋体"/>
                <w:color w:val="000000"/>
                <w:sz w:val="21"/>
                <w:szCs w:val="21"/>
                <w:lang w:val="en-US" w:eastAsia="zh-CN"/>
              </w:rPr>
              <w:t>提供有关企业</w:t>
            </w:r>
            <w:r>
              <w:rPr>
                <w:rFonts w:hint="eastAsia" w:ascii="宋体" w:hAnsi="宋体" w:cs="宋体"/>
                <w:color w:val="000000"/>
                <w:sz w:val="21"/>
                <w:szCs w:val="21"/>
              </w:rPr>
              <w:t>产值税收</w:t>
            </w:r>
            <w:r>
              <w:rPr>
                <w:rFonts w:hint="eastAsia" w:ascii="宋体" w:hAnsi="宋体" w:cs="宋体"/>
                <w:color w:val="000000"/>
                <w:sz w:val="21"/>
                <w:szCs w:val="21"/>
                <w:lang w:val="en-US" w:eastAsia="zh-CN"/>
              </w:rPr>
              <w:t>预警监测项的预警模型</w:t>
            </w:r>
            <w:r>
              <w:rPr>
                <w:rFonts w:hint="eastAsia" w:ascii="宋体" w:hAnsi="宋体" w:cs="宋体"/>
                <w:color w:val="000000"/>
                <w:sz w:val="21"/>
                <w:szCs w:val="21"/>
              </w:rPr>
              <w:t>，</w:t>
            </w:r>
            <w:r>
              <w:rPr>
                <w:rFonts w:hint="eastAsia" w:ascii="宋体" w:hAnsi="宋体" w:cs="宋体"/>
                <w:color w:val="000000"/>
                <w:sz w:val="21"/>
                <w:szCs w:val="21"/>
                <w:lang w:val="en-US" w:eastAsia="zh-CN"/>
              </w:rPr>
              <w:t>包括</w:t>
            </w:r>
            <w:r>
              <w:rPr>
                <w:rFonts w:hint="eastAsia" w:ascii="宋体" w:hAnsi="宋体" w:cs="宋体"/>
                <w:color w:val="000000"/>
                <w:sz w:val="21"/>
                <w:szCs w:val="21"/>
              </w:rPr>
              <w:t>产值-税收不匹配、亩均产值/税收过低等场景。支持自由设定亩均阈值、计算周期、触发逻辑及预警范围。</w:t>
            </w:r>
          </w:p>
        </w:tc>
      </w:tr>
    </w:tbl>
    <w:p w14:paraId="569258C9">
      <w:r>
        <w:br w:type="page"/>
      </w:r>
    </w:p>
    <w:p w14:paraId="1588CEDA">
      <w:pPr>
        <w:pStyle w:val="4"/>
        <w:numPr>
          <w:ilvl w:val="0"/>
          <w:numId w:val="0"/>
        </w:numPr>
        <w:spacing w:line="400" w:lineRule="exact"/>
        <w:ind w:left="567"/>
        <w:rPr>
          <w:rFonts w:hint="default"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rPr>
        <w:t>3.1.3</w:t>
      </w:r>
      <w:r>
        <w:rPr>
          <w:rFonts w:hint="eastAsia" w:cs="黑体" w:asciiTheme="minorEastAsia" w:hAnsiTheme="minorEastAsia" w:eastAsiaTheme="minorEastAsia"/>
          <w:sz w:val="24"/>
          <w:szCs w:val="24"/>
          <w:lang w:val="en-US" w:eastAsia="zh-CN"/>
        </w:rPr>
        <w:t>一企一档服务建设</w:t>
      </w:r>
    </w:p>
    <w:tbl>
      <w:tblPr>
        <w:tblStyle w:val="14"/>
        <w:tblW w:w="4998" w:type="pct"/>
        <w:jc w:val="center"/>
        <w:tblLayout w:type="autofit"/>
        <w:tblCellMar>
          <w:top w:w="0" w:type="dxa"/>
          <w:left w:w="108" w:type="dxa"/>
          <w:bottom w:w="0" w:type="dxa"/>
          <w:right w:w="108" w:type="dxa"/>
        </w:tblCellMar>
      </w:tblPr>
      <w:tblGrid>
        <w:gridCol w:w="638"/>
        <w:gridCol w:w="1570"/>
        <w:gridCol w:w="1570"/>
        <w:gridCol w:w="1571"/>
        <w:gridCol w:w="3170"/>
      </w:tblGrid>
      <w:tr w14:paraId="7396982F">
        <w:tblPrEx>
          <w:tblCellMar>
            <w:top w:w="0" w:type="dxa"/>
            <w:left w:w="108" w:type="dxa"/>
            <w:bottom w:w="0" w:type="dxa"/>
            <w:right w:w="108" w:type="dxa"/>
          </w:tblCellMar>
        </w:tblPrEx>
        <w:trPr>
          <w:trHeight w:val="0" w:hRule="atLeast"/>
          <w:tblHeader/>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14:paraId="02099134">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序号</w:t>
            </w:r>
          </w:p>
        </w:tc>
        <w:tc>
          <w:tcPr>
            <w:tcW w:w="923" w:type="pct"/>
            <w:tcBorders>
              <w:top w:val="single" w:color="000000" w:sz="4" w:space="0"/>
              <w:left w:val="single" w:color="000000" w:sz="4" w:space="0"/>
              <w:bottom w:val="single" w:color="auto" w:sz="4" w:space="0"/>
              <w:right w:val="single" w:color="000000" w:sz="4" w:space="0"/>
            </w:tcBorders>
            <w:vAlign w:val="center"/>
          </w:tcPr>
          <w:p w14:paraId="071B51A6">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分项名称</w:t>
            </w:r>
          </w:p>
        </w:tc>
        <w:tc>
          <w:tcPr>
            <w:tcW w:w="923" w:type="pct"/>
            <w:tcBorders>
              <w:top w:val="single" w:color="000000" w:sz="4" w:space="0"/>
              <w:left w:val="single" w:color="000000" w:sz="4" w:space="0"/>
              <w:bottom w:val="single" w:color="auto" w:sz="4" w:space="0"/>
              <w:right w:val="single" w:color="000000" w:sz="4" w:space="0"/>
            </w:tcBorders>
            <w:vAlign w:val="center"/>
          </w:tcPr>
          <w:p w14:paraId="2F65A9BE">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模块名称</w:t>
            </w:r>
          </w:p>
        </w:tc>
        <w:tc>
          <w:tcPr>
            <w:tcW w:w="923" w:type="pct"/>
            <w:tcBorders>
              <w:top w:val="single" w:color="000000" w:sz="4" w:space="0"/>
              <w:left w:val="single" w:color="000000" w:sz="4" w:space="0"/>
              <w:bottom w:val="single" w:color="auto" w:sz="4" w:space="0"/>
              <w:right w:val="single" w:color="000000" w:sz="4" w:space="0"/>
            </w:tcBorders>
            <w:vAlign w:val="center"/>
          </w:tcPr>
          <w:p w14:paraId="65E5B885">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子功能名称</w:t>
            </w:r>
          </w:p>
        </w:tc>
        <w:tc>
          <w:tcPr>
            <w:tcW w:w="1861" w:type="pct"/>
            <w:tcBorders>
              <w:top w:val="single" w:color="000000" w:sz="4" w:space="0"/>
              <w:left w:val="single" w:color="000000" w:sz="4" w:space="0"/>
              <w:bottom w:val="single" w:color="auto" w:sz="4" w:space="0"/>
              <w:right w:val="single" w:color="000000" w:sz="4" w:space="0"/>
            </w:tcBorders>
            <w:vAlign w:val="center"/>
          </w:tcPr>
          <w:p w14:paraId="4A97D063">
            <w:pPr>
              <w:widowControl/>
              <w:snapToGrid w:val="0"/>
              <w:spacing w:line="240" w:lineRule="auto"/>
              <w:ind w:left="0" w:leftChars="0" w:right="0" w:rightChars="0" w:firstLine="0" w:firstLineChars="0"/>
              <w:jc w:val="center"/>
              <w:textAlignment w:val="center"/>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功能要求</w:t>
            </w:r>
          </w:p>
        </w:tc>
      </w:tr>
      <w:tr w14:paraId="54BDAD8C">
        <w:tblPrEx>
          <w:tblCellMar>
            <w:top w:w="0" w:type="dxa"/>
            <w:left w:w="108" w:type="dxa"/>
            <w:bottom w:w="0" w:type="dxa"/>
            <w:right w:w="108" w:type="dxa"/>
          </w:tblCellMar>
        </w:tblPrEx>
        <w:trPr>
          <w:trHeight w:val="0" w:hRule="atLeast"/>
          <w:jc w:val="center"/>
        </w:trPr>
        <w:tc>
          <w:tcPr>
            <w:tcW w:w="369" w:type="pct"/>
            <w:tcBorders>
              <w:top w:val="single" w:color="000000" w:sz="4" w:space="0"/>
              <w:left w:val="single" w:color="000000" w:sz="4" w:space="0"/>
              <w:bottom w:val="single" w:color="000000" w:sz="4" w:space="0"/>
              <w:right w:val="single" w:color="auto" w:sz="4" w:space="0"/>
            </w:tcBorders>
            <w:noWrap/>
            <w:vAlign w:val="center"/>
          </w:tcPr>
          <w:p w14:paraId="5FD4A63B">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923" w:type="pct"/>
            <w:vMerge w:val="restart"/>
            <w:tcBorders>
              <w:top w:val="single" w:color="auto" w:sz="4" w:space="0"/>
              <w:left w:val="single" w:color="auto" w:sz="4" w:space="0"/>
              <w:bottom w:val="single" w:color="auto" w:sz="4" w:space="0"/>
              <w:right w:val="single" w:color="auto" w:sz="4" w:space="0"/>
            </w:tcBorders>
            <w:noWrap/>
            <w:vAlign w:val="center"/>
          </w:tcPr>
          <w:p w14:paraId="7FE6849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一企一档服务</w:t>
            </w:r>
          </w:p>
        </w:tc>
        <w:tc>
          <w:tcPr>
            <w:tcW w:w="923" w:type="pct"/>
            <w:vMerge w:val="restart"/>
            <w:tcBorders>
              <w:top w:val="single" w:color="auto" w:sz="4" w:space="0"/>
              <w:left w:val="single" w:color="auto" w:sz="4" w:space="0"/>
              <w:bottom w:val="single" w:color="auto" w:sz="4" w:space="0"/>
              <w:right w:val="single" w:color="auto" w:sz="4" w:space="0"/>
            </w:tcBorders>
            <w:vAlign w:val="center"/>
          </w:tcPr>
          <w:p w14:paraId="2AE63B05">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企业画像</w:t>
            </w:r>
          </w:p>
        </w:tc>
        <w:tc>
          <w:tcPr>
            <w:tcW w:w="923" w:type="pct"/>
            <w:tcBorders>
              <w:top w:val="single" w:color="auto" w:sz="4" w:space="0"/>
              <w:left w:val="single" w:color="auto" w:sz="4" w:space="0"/>
              <w:bottom w:val="single" w:color="auto" w:sz="4" w:space="0"/>
              <w:right w:val="single" w:color="auto" w:sz="4" w:space="0"/>
            </w:tcBorders>
            <w:vAlign w:val="center"/>
          </w:tcPr>
          <w:p w14:paraId="6935497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企业查询</w:t>
            </w:r>
          </w:p>
        </w:tc>
        <w:tc>
          <w:tcPr>
            <w:tcW w:w="1861" w:type="pct"/>
            <w:tcBorders>
              <w:top w:val="single" w:color="auto" w:sz="4" w:space="0"/>
              <w:left w:val="single" w:color="auto" w:sz="4" w:space="0"/>
              <w:bottom w:val="single" w:color="auto" w:sz="4" w:space="0"/>
              <w:right w:val="single" w:color="auto" w:sz="4" w:space="0"/>
            </w:tcBorders>
            <w:vAlign w:val="center"/>
          </w:tcPr>
          <w:p w14:paraId="23425792">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提供</w:t>
            </w:r>
            <w:r>
              <w:rPr>
                <w:rFonts w:hint="eastAsia" w:ascii="宋体" w:hAnsi="宋体" w:cs="宋体"/>
                <w:color w:val="000000"/>
                <w:sz w:val="21"/>
                <w:szCs w:val="21"/>
              </w:rPr>
              <w:t>企业画像查询功能，支持多元条件查询，涵盖</w:t>
            </w:r>
            <w:r>
              <w:rPr>
                <w:rFonts w:hint="eastAsia" w:ascii="宋体" w:hAnsi="宋体" w:cs="宋体"/>
                <w:color w:val="000000"/>
                <w:sz w:val="21"/>
                <w:szCs w:val="21"/>
                <w:lang w:val="en-US" w:eastAsia="zh-CN"/>
              </w:rPr>
              <w:t>机构类型、经营状态、国标行业</w:t>
            </w:r>
            <w:r>
              <w:rPr>
                <w:rFonts w:hint="eastAsia" w:ascii="宋体" w:hAnsi="宋体" w:cs="宋体"/>
                <w:color w:val="000000"/>
                <w:sz w:val="21"/>
                <w:szCs w:val="21"/>
              </w:rPr>
              <w:t>等多维度筛选项，允许用户自由组合关联查询且实时展示所选条件</w:t>
            </w:r>
            <w:r>
              <w:rPr>
                <w:rFonts w:hint="eastAsia" w:ascii="宋体" w:hAnsi="宋体" w:cs="宋体"/>
                <w:color w:val="000000"/>
                <w:sz w:val="21"/>
                <w:szCs w:val="21"/>
                <w:lang w:val="en-US" w:eastAsia="zh-CN"/>
              </w:rPr>
              <w:t>。</w:t>
            </w:r>
          </w:p>
        </w:tc>
      </w:tr>
      <w:tr w14:paraId="2BCA30AC">
        <w:tblPrEx>
          <w:tblCellMar>
            <w:top w:w="0" w:type="dxa"/>
            <w:left w:w="108" w:type="dxa"/>
            <w:bottom w:w="0" w:type="dxa"/>
            <w:right w:w="108" w:type="dxa"/>
          </w:tblCellMar>
        </w:tblPrEx>
        <w:trPr>
          <w:trHeight w:val="0" w:hRule="atLeast"/>
          <w:jc w:val="center"/>
        </w:trPr>
        <w:tc>
          <w:tcPr>
            <w:tcW w:w="369" w:type="pct"/>
            <w:tcBorders>
              <w:top w:val="single" w:color="000000" w:sz="4" w:space="0"/>
              <w:left w:val="single" w:color="000000" w:sz="4" w:space="0"/>
              <w:bottom w:val="single" w:color="auto" w:sz="4" w:space="0"/>
              <w:right w:val="single" w:color="auto" w:sz="4" w:space="0"/>
            </w:tcBorders>
            <w:noWrap/>
            <w:vAlign w:val="center"/>
          </w:tcPr>
          <w:p w14:paraId="390C812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p>
        </w:tc>
        <w:tc>
          <w:tcPr>
            <w:tcW w:w="923" w:type="pct"/>
            <w:vMerge w:val="continue"/>
            <w:tcBorders>
              <w:top w:val="single" w:color="auto" w:sz="4" w:space="0"/>
              <w:left w:val="single" w:color="auto" w:sz="4" w:space="0"/>
              <w:bottom w:val="single" w:color="auto" w:sz="4" w:space="0"/>
              <w:right w:val="single" w:color="auto" w:sz="4" w:space="0"/>
            </w:tcBorders>
            <w:noWrap/>
            <w:vAlign w:val="center"/>
          </w:tcPr>
          <w:p w14:paraId="5395A00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1308717D">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3DAFD046">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企业基本信息</w:t>
            </w:r>
          </w:p>
        </w:tc>
        <w:tc>
          <w:tcPr>
            <w:tcW w:w="1861" w:type="pct"/>
            <w:tcBorders>
              <w:top w:val="single" w:color="auto" w:sz="4" w:space="0"/>
              <w:left w:val="single" w:color="auto" w:sz="4" w:space="0"/>
              <w:bottom w:val="single" w:color="auto" w:sz="4" w:space="0"/>
              <w:right w:val="single" w:color="auto" w:sz="4" w:space="0"/>
            </w:tcBorders>
            <w:vAlign w:val="center"/>
          </w:tcPr>
          <w:p w14:paraId="2AE94D32">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提供</w:t>
            </w:r>
            <w:r>
              <w:rPr>
                <w:rFonts w:hint="eastAsia" w:ascii="宋体" w:hAnsi="宋体" w:cs="宋体"/>
                <w:color w:val="000000"/>
                <w:sz w:val="21"/>
                <w:szCs w:val="21"/>
              </w:rPr>
              <w:t>企业基本信息展示功能，</w:t>
            </w:r>
            <w:r>
              <w:rPr>
                <w:rFonts w:hint="eastAsia" w:ascii="宋体" w:hAnsi="宋体" w:cs="宋体"/>
                <w:color w:val="000000"/>
                <w:sz w:val="21"/>
                <w:szCs w:val="21"/>
                <w:lang w:val="en-US" w:eastAsia="zh-CN"/>
              </w:rPr>
              <w:t>涵盖</w:t>
            </w:r>
            <w:r>
              <w:rPr>
                <w:rFonts w:hint="eastAsia" w:ascii="宋体" w:hAnsi="宋体" w:cs="宋体"/>
                <w:color w:val="000000"/>
                <w:sz w:val="21"/>
                <w:szCs w:val="21"/>
              </w:rPr>
              <w:t>运营指标、工商信息、土地信息、股东信息等；</w:t>
            </w:r>
            <w:r>
              <w:rPr>
                <w:rFonts w:hint="eastAsia" w:ascii="宋体" w:hAnsi="宋体" w:cs="宋体"/>
                <w:color w:val="000000"/>
                <w:sz w:val="21"/>
                <w:szCs w:val="21"/>
                <w:lang w:val="en-US" w:eastAsia="zh-CN"/>
              </w:rPr>
              <w:t>提供内容检索和快捷导航功能，</w:t>
            </w:r>
            <w:r>
              <w:rPr>
                <w:rFonts w:hint="eastAsia" w:ascii="宋体" w:hAnsi="宋体" w:cs="宋体"/>
                <w:color w:val="000000"/>
                <w:sz w:val="21"/>
                <w:szCs w:val="21"/>
              </w:rPr>
              <w:t>提升信息查阅效率</w:t>
            </w:r>
            <w:r>
              <w:rPr>
                <w:rFonts w:hint="eastAsia" w:ascii="宋体" w:hAnsi="宋体" w:cs="宋体"/>
                <w:color w:val="000000"/>
                <w:sz w:val="21"/>
                <w:szCs w:val="21"/>
                <w:lang w:val="en-US" w:eastAsia="zh-CN"/>
              </w:rPr>
              <w:t>。</w:t>
            </w:r>
          </w:p>
        </w:tc>
      </w:tr>
      <w:tr w14:paraId="5B383C40">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4F53FB60">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p>
        </w:tc>
        <w:tc>
          <w:tcPr>
            <w:tcW w:w="923" w:type="pct"/>
            <w:vMerge w:val="continue"/>
            <w:tcBorders>
              <w:top w:val="single" w:color="auto" w:sz="4" w:space="0"/>
              <w:left w:val="single" w:color="auto" w:sz="4" w:space="0"/>
              <w:bottom w:val="single" w:color="auto" w:sz="4" w:space="0"/>
              <w:right w:val="single" w:color="auto" w:sz="4" w:space="0"/>
            </w:tcBorders>
            <w:noWrap/>
            <w:vAlign w:val="center"/>
          </w:tcPr>
          <w:p w14:paraId="4B3F53D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2741ED58">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2CCD295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周边企业</w:t>
            </w:r>
          </w:p>
        </w:tc>
        <w:tc>
          <w:tcPr>
            <w:tcW w:w="1861" w:type="pct"/>
            <w:tcBorders>
              <w:top w:val="single" w:color="auto" w:sz="4" w:space="0"/>
              <w:left w:val="single" w:color="auto" w:sz="4" w:space="0"/>
              <w:bottom w:val="single" w:color="auto" w:sz="4" w:space="0"/>
              <w:right w:val="single" w:color="auto" w:sz="4" w:space="0"/>
            </w:tcBorders>
            <w:vAlign w:val="center"/>
          </w:tcPr>
          <w:p w14:paraId="29A6948B">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提供</w:t>
            </w:r>
            <w:r>
              <w:rPr>
                <w:rFonts w:hint="eastAsia" w:ascii="宋体" w:hAnsi="宋体" w:cs="宋体"/>
                <w:color w:val="000000"/>
                <w:sz w:val="21"/>
                <w:szCs w:val="21"/>
              </w:rPr>
              <w:t>周边企业</w:t>
            </w:r>
            <w:r>
              <w:rPr>
                <w:rFonts w:hint="eastAsia" w:ascii="宋体" w:hAnsi="宋体" w:cs="宋体"/>
                <w:color w:val="000000"/>
                <w:sz w:val="21"/>
                <w:szCs w:val="21"/>
                <w:lang w:val="en-US" w:eastAsia="zh-CN"/>
              </w:rPr>
              <w:t>地图查询功能</w:t>
            </w:r>
            <w:r>
              <w:rPr>
                <w:rFonts w:hint="eastAsia" w:ascii="宋体" w:hAnsi="宋体" w:cs="宋体"/>
                <w:color w:val="000000"/>
                <w:sz w:val="21"/>
                <w:szCs w:val="21"/>
              </w:rPr>
              <w:t>，基于经纬度计算并展示周边企业</w:t>
            </w:r>
            <w:r>
              <w:rPr>
                <w:rFonts w:hint="eastAsia" w:ascii="宋体" w:hAnsi="宋体" w:cs="宋体"/>
                <w:color w:val="000000"/>
                <w:sz w:val="21"/>
                <w:szCs w:val="21"/>
                <w:lang w:eastAsia="zh-CN"/>
              </w:rPr>
              <w:t>。</w:t>
            </w:r>
            <w:r>
              <w:rPr>
                <w:rFonts w:hint="eastAsia" w:ascii="宋体" w:hAnsi="宋体" w:cs="宋体"/>
                <w:color w:val="000000"/>
                <w:sz w:val="21"/>
                <w:szCs w:val="21"/>
              </w:rPr>
              <w:t>提供多条件筛选查询，</w:t>
            </w:r>
            <w:r>
              <w:rPr>
                <w:rFonts w:hint="eastAsia" w:ascii="宋体" w:hAnsi="宋体" w:cs="宋体"/>
                <w:color w:val="000000"/>
                <w:sz w:val="21"/>
                <w:szCs w:val="21"/>
                <w:lang w:val="en-US" w:eastAsia="zh-CN"/>
              </w:rPr>
              <w:t>可</w:t>
            </w:r>
            <w:r>
              <w:rPr>
                <w:rFonts w:hint="eastAsia" w:ascii="宋体" w:hAnsi="宋体" w:cs="宋体"/>
                <w:color w:val="000000"/>
                <w:sz w:val="21"/>
                <w:szCs w:val="21"/>
              </w:rPr>
              <w:t>按范围公里数、企业类型等维度筛选周边企业</w:t>
            </w:r>
            <w:r>
              <w:rPr>
                <w:rFonts w:hint="eastAsia" w:ascii="宋体" w:hAnsi="宋体" w:cs="宋体"/>
                <w:color w:val="000000"/>
                <w:sz w:val="21"/>
                <w:szCs w:val="21"/>
                <w:lang w:eastAsia="zh-CN"/>
              </w:rPr>
              <w:t>。</w:t>
            </w:r>
          </w:p>
        </w:tc>
      </w:tr>
      <w:tr w14:paraId="4A7C0F19">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7CD55C0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p>
        </w:tc>
        <w:tc>
          <w:tcPr>
            <w:tcW w:w="923" w:type="pct"/>
            <w:vMerge w:val="continue"/>
            <w:tcBorders>
              <w:top w:val="single" w:color="auto" w:sz="4" w:space="0"/>
              <w:left w:val="single" w:color="auto" w:sz="4" w:space="0"/>
              <w:bottom w:val="single" w:color="auto" w:sz="4" w:space="0"/>
              <w:right w:val="single" w:color="auto" w:sz="4" w:space="0"/>
            </w:tcBorders>
            <w:noWrap/>
            <w:vAlign w:val="center"/>
          </w:tcPr>
          <w:p w14:paraId="0B8A51CF">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77AC73F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20314A74">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经营状况</w:t>
            </w:r>
          </w:p>
        </w:tc>
        <w:tc>
          <w:tcPr>
            <w:tcW w:w="1861" w:type="pct"/>
            <w:tcBorders>
              <w:top w:val="single" w:color="auto" w:sz="4" w:space="0"/>
              <w:left w:val="single" w:color="auto" w:sz="4" w:space="0"/>
              <w:bottom w:val="single" w:color="auto" w:sz="4" w:space="0"/>
              <w:right w:val="single" w:color="auto" w:sz="4" w:space="0"/>
            </w:tcBorders>
            <w:vAlign w:val="center"/>
          </w:tcPr>
          <w:p w14:paraId="1C25EBBD">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提供企业经营状况信息展示功能，涵盖财务、进出口评级、税务评级、产品服务、招投标信息等；提供内容检索和快捷导航功能，</w:t>
            </w:r>
            <w:r>
              <w:rPr>
                <w:rFonts w:hint="eastAsia" w:ascii="宋体" w:hAnsi="宋体" w:cs="宋体"/>
                <w:color w:val="000000"/>
                <w:sz w:val="21"/>
                <w:szCs w:val="21"/>
              </w:rPr>
              <w:t>提升信息查阅效率</w:t>
            </w:r>
            <w:r>
              <w:rPr>
                <w:rFonts w:hint="eastAsia" w:ascii="宋体" w:hAnsi="宋体" w:cs="宋体"/>
                <w:color w:val="000000"/>
                <w:sz w:val="21"/>
                <w:szCs w:val="21"/>
                <w:lang w:val="en-US" w:eastAsia="zh-CN"/>
              </w:rPr>
              <w:t>。</w:t>
            </w:r>
          </w:p>
        </w:tc>
      </w:tr>
      <w:tr w14:paraId="5A68577B">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40440CE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w:t>
            </w:r>
          </w:p>
        </w:tc>
        <w:tc>
          <w:tcPr>
            <w:tcW w:w="923" w:type="pct"/>
            <w:vMerge w:val="continue"/>
            <w:tcBorders>
              <w:top w:val="single" w:color="auto" w:sz="4" w:space="0"/>
              <w:left w:val="single" w:color="auto" w:sz="4" w:space="0"/>
              <w:bottom w:val="single" w:color="auto" w:sz="4" w:space="0"/>
              <w:right w:val="single" w:color="auto" w:sz="4" w:space="0"/>
            </w:tcBorders>
            <w:noWrap/>
            <w:vAlign w:val="center"/>
          </w:tcPr>
          <w:p w14:paraId="6F9B52D7">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01511122">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5CDAB494">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上市信息</w:t>
            </w:r>
          </w:p>
        </w:tc>
        <w:tc>
          <w:tcPr>
            <w:tcW w:w="1861" w:type="pct"/>
            <w:tcBorders>
              <w:top w:val="single" w:color="auto" w:sz="4" w:space="0"/>
              <w:left w:val="single" w:color="auto" w:sz="4" w:space="0"/>
              <w:bottom w:val="single" w:color="auto" w:sz="4" w:space="0"/>
              <w:right w:val="single" w:color="auto" w:sz="4" w:space="0"/>
            </w:tcBorders>
            <w:vAlign w:val="center"/>
          </w:tcPr>
          <w:p w14:paraId="63477C2C">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rPr>
            </w:pPr>
            <w:r>
              <w:rPr>
                <w:rFonts w:hint="eastAsia" w:ascii="宋体" w:hAnsi="宋体" w:cs="宋体"/>
                <w:color w:val="000000"/>
                <w:sz w:val="21"/>
                <w:szCs w:val="21"/>
                <w:lang w:val="en-US" w:eastAsia="zh-CN"/>
              </w:rPr>
              <w:t>提供企业上市信息展示功能，涵盖上市基本信息、重要人员、首发信息等；提供内容检索和快捷导航功能，</w:t>
            </w:r>
            <w:r>
              <w:rPr>
                <w:rFonts w:hint="eastAsia" w:ascii="宋体" w:hAnsi="宋体" w:cs="宋体"/>
                <w:color w:val="000000"/>
                <w:sz w:val="21"/>
                <w:szCs w:val="21"/>
              </w:rPr>
              <w:t>提升信息查阅效率</w:t>
            </w:r>
            <w:r>
              <w:rPr>
                <w:rFonts w:hint="eastAsia" w:ascii="宋体" w:hAnsi="宋体" w:cs="宋体"/>
                <w:color w:val="000000"/>
                <w:sz w:val="21"/>
                <w:szCs w:val="21"/>
                <w:lang w:val="en-US" w:eastAsia="zh-CN"/>
              </w:rPr>
              <w:t>。</w:t>
            </w:r>
          </w:p>
        </w:tc>
      </w:tr>
      <w:tr w14:paraId="50175E2D">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66CE87D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p>
        </w:tc>
        <w:tc>
          <w:tcPr>
            <w:tcW w:w="923" w:type="pct"/>
            <w:vMerge w:val="continue"/>
            <w:tcBorders>
              <w:top w:val="single" w:color="auto" w:sz="4" w:space="0"/>
              <w:left w:val="single" w:color="auto" w:sz="4" w:space="0"/>
              <w:bottom w:val="single" w:color="auto" w:sz="4" w:space="0"/>
              <w:right w:val="single" w:color="auto" w:sz="4" w:space="0"/>
            </w:tcBorders>
            <w:noWrap/>
            <w:vAlign w:val="center"/>
          </w:tcPr>
          <w:p w14:paraId="4D461ECA">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1261E704">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29F26D5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经营风险</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39DABE12">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提供企业上市信息展示功能，涵盖行政处罚、经营异常、严重违法、欠税公告、税收违法、环保处罚等；提供内容检索和快捷导航功能，</w:t>
            </w:r>
            <w:r>
              <w:rPr>
                <w:rFonts w:hint="eastAsia" w:ascii="宋体" w:hAnsi="宋体" w:cs="宋体"/>
                <w:color w:val="000000"/>
                <w:sz w:val="21"/>
                <w:szCs w:val="21"/>
              </w:rPr>
              <w:t>提升信息查阅效率</w:t>
            </w:r>
            <w:r>
              <w:rPr>
                <w:rFonts w:hint="eastAsia" w:ascii="宋体" w:hAnsi="宋体" w:cs="宋体"/>
                <w:color w:val="000000"/>
                <w:sz w:val="21"/>
                <w:szCs w:val="21"/>
                <w:lang w:val="en-US" w:eastAsia="zh-CN"/>
              </w:rPr>
              <w:t>。</w:t>
            </w:r>
          </w:p>
        </w:tc>
      </w:tr>
      <w:tr w14:paraId="10936A5C">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5E2E18F0">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p>
        </w:tc>
        <w:tc>
          <w:tcPr>
            <w:tcW w:w="923" w:type="pct"/>
            <w:vMerge w:val="continue"/>
            <w:tcBorders>
              <w:top w:val="single" w:color="auto" w:sz="4" w:space="0"/>
              <w:left w:val="single" w:color="auto" w:sz="4" w:space="0"/>
              <w:bottom w:val="single" w:color="auto" w:sz="4" w:space="0"/>
              <w:right w:val="single" w:color="auto" w:sz="4" w:space="0"/>
            </w:tcBorders>
            <w:noWrap/>
            <w:vAlign w:val="center"/>
          </w:tcPr>
          <w:p w14:paraId="791C277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736B494E">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59A913E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法律风险</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5D2E0988">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提供企业上市信息展示功能，涵盖立案信息、失信被执行人、被执行人、限制高消费、终本案件、法院公告、开庭公告等；提供内容检索和快捷导航功能，</w:t>
            </w:r>
            <w:r>
              <w:rPr>
                <w:rFonts w:hint="eastAsia" w:ascii="宋体" w:hAnsi="宋体" w:cs="宋体"/>
                <w:color w:val="000000"/>
                <w:sz w:val="21"/>
                <w:szCs w:val="21"/>
              </w:rPr>
              <w:t>提升信息查阅效率</w:t>
            </w:r>
            <w:r>
              <w:rPr>
                <w:rFonts w:hint="eastAsia" w:ascii="宋体" w:hAnsi="宋体" w:cs="宋体"/>
                <w:color w:val="000000"/>
                <w:sz w:val="21"/>
                <w:szCs w:val="21"/>
                <w:lang w:val="en-US" w:eastAsia="zh-CN"/>
              </w:rPr>
              <w:t>。</w:t>
            </w:r>
          </w:p>
        </w:tc>
      </w:tr>
      <w:tr w14:paraId="0EB87988">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4EE9850F">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p>
        </w:tc>
        <w:tc>
          <w:tcPr>
            <w:tcW w:w="923" w:type="pct"/>
            <w:vMerge w:val="continue"/>
            <w:tcBorders>
              <w:top w:val="single" w:color="auto" w:sz="4" w:space="0"/>
              <w:left w:val="single" w:color="auto" w:sz="4" w:space="0"/>
              <w:bottom w:val="single" w:color="auto" w:sz="4" w:space="0"/>
              <w:right w:val="single" w:color="auto" w:sz="4" w:space="0"/>
            </w:tcBorders>
            <w:noWrap/>
            <w:vAlign w:val="center"/>
          </w:tcPr>
          <w:p w14:paraId="5709339B">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36BC409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5BFA856A">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企业发展</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489506AF">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提供企业上市信息展示功能，涵盖企业舆情、企业公告、企业研报、人才储备等；提供内容检索和快捷导航功能，</w:t>
            </w:r>
            <w:r>
              <w:rPr>
                <w:rFonts w:hint="eastAsia" w:ascii="宋体" w:hAnsi="宋体" w:cs="宋体"/>
                <w:color w:val="000000"/>
                <w:sz w:val="21"/>
                <w:szCs w:val="21"/>
              </w:rPr>
              <w:t>提升信息查阅效率</w:t>
            </w:r>
            <w:r>
              <w:rPr>
                <w:rFonts w:hint="eastAsia" w:ascii="宋体" w:hAnsi="宋体" w:cs="宋体"/>
                <w:color w:val="000000"/>
                <w:sz w:val="21"/>
                <w:szCs w:val="21"/>
                <w:lang w:val="en-US" w:eastAsia="zh-CN"/>
              </w:rPr>
              <w:t>。</w:t>
            </w:r>
          </w:p>
        </w:tc>
      </w:tr>
      <w:tr w14:paraId="2442ABBD">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0EF5A2B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p>
        </w:tc>
        <w:tc>
          <w:tcPr>
            <w:tcW w:w="923" w:type="pct"/>
            <w:vMerge w:val="continue"/>
            <w:tcBorders>
              <w:top w:val="single" w:color="auto" w:sz="4" w:space="0"/>
              <w:left w:val="single" w:color="auto" w:sz="4" w:space="0"/>
              <w:bottom w:val="single" w:color="auto" w:sz="4" w:space="0"/>
              <w:right w:val="single" w:color="auto" w:sz="4" w:space="0"/>
            </w:tcBorders>
            <w:noWrap/>
            <w:vAlign w:val="center"/>
          </w:tcPr>
          <w:p w14:paraId="47BF4C0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079A2003">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384B0EA9">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投资融资</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7B86C8F3">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提供企业上市信息展示功能，涵盖融资历程、融资分析、创投融资、股票融资、债权融资、应收账款等；提供内容检索和快捷导航功能，</w:t>
            </w:r>
            <w:r>
              <w:rPr>
                <w:rFonts w:hint="eastAsia" w:ascii="宋体" w:hAnsi="宋体" w:cs="宋体"/>
                <w:color w:val="000000"/>
                <w:sz w:val="21"/>
                <w:szCs w:val="21"/>
              </w:rPr>
              <w:t>提升信息查阅效率</w:t>
            </w:r>
            <w:r>
              <w:rPr>
                <w:rFonts w:hint="eastAsia" w:ascii="宋体" w:hAnsi="宋体" w:cs="宋体"/>
                <w:color w:val="000000"/>
                <w:sz w:val="21"/>
                <w:szCs w:val="21"/>
                <w:lang w:val="en-US" w:eastAsia="zh-CN"/>
              </w:rPr>
              <w:t>。</w:t>
            </w:r>
          </w:p>
        </w:tc>
      </w:tr>
      <w:tr w14:paraId="5263C184">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409B0A9A">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10</w:t>
            </w:r>
          </w:p>
        </w:tc>
        <w:tc>
          <w:tcPr>
            <w:tcW w:w="923" w:type="pct"/>
            <w:vMerge w:val="continue"/>
            <w:tcBorders>
              <w:top w:val="single" w:color="auto" w:sz="4" w:space="0"/>
              <w:left w:val="single" w:color="auto" w:sz="4" w:space="0"/>
              <w:bottom w:val="single" w:color="auto" w:sz="4" w:space="0"/>
              <w:right w:val="single" w:color="auto" w:sz="4" w:space="0"/>
            </w:tcBorders>
            <w:noWrap/>
            <w:vAlign w:val="center"/>
          </w:tcPr>
          <w:p w14:paraId="10127D72">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334CD93E">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4DEA9763">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知识产权</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21F5C001">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提供企业上市信息展示功能，涵盖专利相关信息、商标信息、软件著作权、作品著作权、网站备案等；提供内容检索和快捷导航功能，</w:t>
            </w:r>
            <w:r>
              <w:rPr>
                <w:rFonts w:hint="eastAsia" w:ascii="宋体" w:hAnsi="宋体" w:cs="宋体"/>
                <w:color w:val="000000"/>
                <w:sz w:val="21"/>
                <w:szCs w:val="21"/>
              </w:rPr>
              <w:t>提升信息查阅效率</w:t>
            </w:r>
            <w:r>
              <w:rPr>
                <w:rFonts w:hint="eastAsia" w:ascii="宋体" w:hAnsi="宋体" w:cs="宋体"/>
                <w:color w:val="000000"/>
                <w:sz w:val="21"/>
                <w:szCs w:val="21"/>
                <w:lang w:val="en-US" w:eastAsia="zh-CN"/>
              </w:rPr>
              <w:t>。</w:t>
            </w:r>
          </w:p>
        </w:tc>
      </w:tr>
      <w:tr w14:paraId="60DA28C3">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13D5BE74">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p>
        </w:tc>
        <w:tc>
          <w:tcPr>
            <w:tcW w:w="923" w:type="pct"/>
            <w:vMerge w:val="continue"/>
            <w:tcBorders>
              <w:top w:val="single" w:color="auto" w:sz="4" w:space="0"/>
              <w:left w:val="single" w:color="auto" w:sz="4" w:space="0"/>
              <w:right w:val="single" w:color="000000" w:sz="4" w:space="0"/>
            </w:tcBorders>
            <w:noWrap/>
            <w:vAlign w:val="center"/>
          </w:tcPr>
          <w:p w14:paraId="273141F8">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000000" w:sz="4" w:space="0"/>
              <w:right w:val="single" w:color="000000" w:sz="4" w:space="0"/>
            </w:tcBorders>
            <w:vAlign w:val="center"/>
          </w:tcPr>
          <w:p w14:paraId="3517D0F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26367075">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资质榜单</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4B772F17">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提供企业上市信息展示功能，涵盖行业资质、榜单荣誉、标准制定、管理体系认证等；提供内容检索和快捷导航功能，</w:t>
            </w:r>
            <w:r>
              <w:rPr>
                <w:rFonts w:hint="eastAsia" w:ascii="宋体" w:hAnsi="宋体" w:cs="宋体"/>
                <w:color w:val="000000"/>
                <w:sz w:val="21"/>
                <w:szCs w:val="21"/>
              </w:rPr>
              <w:t>提升信息查阅效率</w:t>
            </w:r>
            <w:r>
              <w:rPr>
                <w:rFonts w:hint="eastAsia" w:ascii="宋体" w:hAnsi="宋体" w:cs="宋体"/>
                <w:color w:val="000000"/>
                <w:sz w:val="21"/>
                <w:szCs w:val="21"/>
                <w:lang w:val="en-US" w:eastAsia="zh-CN"/>
              </w:rPr>
              <w:t>。</w:t>
            </w:r>
          </w:p>
        </w:tc>
      </w:tr>
      <w:tr w14:paraId="4E573EE3">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0C18F0F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12</w:t>
            </w:r>
          </w:p>
        </w:tc>
        <w:tc>
          <w:tcPr>
            <w:tcW w:w="923" w:type="pct"/>
            <w:vMerge w:val="continue"/>
            <w:tcBorders>
              <w:left w:val="single" w:color="auto" w:sz="4" w:space="0"/>
              <w:right w:val="single" w:color="000000" w:sz="4" w:space="0"/>
            </w:tcBorders>
            <w:noWrap/>
            <w:vAlign w:val="center"/>
          </w:tcPr>
          <w:p w14:paraId="40273B4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000000" w:sz="4" w:space="0"/>
              <w:right w:val="single" w:color="000000" w:sz="4" w:space="0"/>
            </w:tcBorders>
            <w:vAlign w:val="center"/>
          </w:tcPr>
          <w:p w14:paraId="597E51AE">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5BA99181">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企业图谱</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419CDFA6">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以树状图形式呈现企业关系，涵盖股东信息、高管信息、对外投资、分支机构、供应商及客户等关联维度。</w:t>
            </w:r>
          </w:p>
        </w:tc>
      </w:tr>
      <w:tr w14:paraId="199FFA11">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63BFEC55">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13</w:t>
            </w:r>
          </w:p>
        </w:tc>
        <w:tc>
          <w:tcPr>
            <w:tcW w:w="923" w:type="pct"/>
            <w:vMerge w:val="continue"/>
            <w:tcBorders>
              <w:left w:val="single" w:color="auto" w:sz="4" w:space="0"/>
              <w:right w:val="single" w:color="000000" w:sz="4" w:space="0"/>
            </w:tcBorders>
            <w:noWrap/>
            <w:vAlign w:val="center"/>
          </w:tcPr>
          <w:p w14:paraId="6CC1974B">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000000" w:sz="4" w:space="0"/>
              <w:right w:val="single" w:color="000000" w:sz="4" w:space="0"/>
            </w:tcBorders>
            <w:vAlign w:val="center"/>
          </w:tcPr>
          <w:p w14:paraId="385192D3">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282B9E05">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关联项目</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25949D67">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通过平台对接，获取与企业关联的项目信息；并支持查看项目备案详情，也支持项目信息列表导出。</w:t>
            </w:r>
          </w:p>
        </w:tc>
      </w:tr>
      <w:tr w14:paraId="0C0DC172">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13F95D9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14</w:t>
            </w:r>
          </w:p>
        </w:tc>
        <w:tc>
          <w:tcPr>
            <w:tcW w:w="923" w:type="pct"/>
            <w:vMerge w:val="continue"/>
            <w:tcBorders>
              <w:left w:val="single" w:color="auto" w:sz="4" w:space="0"/>
              <w:right w:val="single" w:color="000000" w:sz="4" w:space="0"/>
            </w:tcBorders>
            <w:noWrap/>
            <w:vAlign w:val="center"/>
          </w:tcPr>
          <w:p w14:paraId="69D6EC71">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000000" w:sz="4" w:space="0"/>
              <w:right w:val="single" w:color="000000" w:sz="4" w:space="0"/>
            </w:tcBorders>
            <w:vAlign w:val="center"/>
          </w:tcPr>
          <w:p w14:paraId="4CF6C178">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39017B2F">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奖补记录</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710501AC">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对接多个部门数据源，以表单形式展示奖补记录。</w:t>
            </w:r>
          </w:p>
        </w:tc>
      </w:tr>
      <w:tr w14:paraId="28469CD1">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293A04B4">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15</w:t>
            </w:r>
          </w:p>
        </w:tc>
        <w:tc>
          <w:tcPr>
            <w:tcW w:w="923" w:type="pct"/>
            <w:vMerge w:val="continue"/>
            <w:tcBorders>
              <w:left w:val="single" w:color="auto" w:sz="4" w:space="0"/>
              <w:right w:val="single" w:color="000000" w:sz="4" w:space="0"/>
            </w:tcBorders>
            <w:noWrap/>
            <w:vAlign w:val="center"/>
          </w:tcPr>
          <w:p w14:paraId="4101DF59">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000000" w:sz="4" w:space="0"/>
              <w:right w:val="single" w:color="000000" w:sz="4" w:space="0"/>
            </w:tcBorders>
            <w:vAlign w:val="center"/>
          </w:tcPr>
          <w:p w14:paraId="2CD26727">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1355494A">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企业安全</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781AA356">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对接企业安全条线数据，获取企业安全方面数据并展示，包括企业工商基础信息、履职清单、风险清单表、责任清单信息等；提供内容检索和快捷导航功能，</w:t>
            </w:r>
            <w:r>
              <w:rPr>
                <w:rFonts w:hint="eastAsia" w:ascii="宋体" w:hAnsi="宋体" w:cs="宋体"/>
                <w:color w:val="000000"/>
                <w:sz w:val="21"/>
                <w:szCs w:val="21"/>
              </w:rPr>
              <w:t>提升信息查阅效率</w:t>
            </w:r>
            <w:r>
              <w:rPr>
                <w:rFonts w:hint="eastAsia" w:ascii="宋体" w:hAnsi="宋体" w:cs="宋体"/>
                <w:color w:val="000000"/>
                <w:sz w:val="21"/>
                <w:szCs w:val="21"/>
                <w:lang w:val="en-US" w:eastAsia="zh-CN"/>
              </w:rPr>
              <w:t>。</w:t>
            </w:r>
          </w:p>
        </w:tc>
      </w:tr>
      <w:tr w14:paraId="315B5429">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355CABA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16</w:t>
            </w:r>
          </w:p>
        </w:tc>
        <w:tc>
          <w:tcPr>
            <w:tcW w:w="923" w:type="pct"/>
            <w:vMerge w:val="continue"/>
            <w:tcBorders>
              <w:left w:val="single" w:color="auto" w:sz="4" w:space="0"/>
              <w:right w:val="single" w:color="000000" w:sz="4" w:space="0"/>
            </w:tcBorders>
            <w:noWrap/>
            <w:vAlign w:val="center"/>
          </w:tcPr>
          <w:p w14:paraId="5E35DF3C">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000000" w:sz="4" w:space="0"/>
              <w:right w:val="single" w:color="000000" w:sz="4" w:space="0"/>
            </w:tcBorders>
            <w:vAlign w:val="center"/>
          </w:tcPr>
          <w:p w14:paraId="55DA1AE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0EBB008B">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企业画像权限控制</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5749693F">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提供企业画像展示内容的权限管理能力，支持设定权限等级、进行角色分类，并为不同角色分配对应权限等级及范围。</w:t>
            </w:r>
          </w:p>
        </w:tc>
      </w:tr>
      <w:tr w14:paraId="66B300F7">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1BF562DC">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17</w:t>
            </w:r>
          </w:p>
        </w:tc>
        <w:tc>
          <w:tcPr>
            <w:tcW w:w="923" w:type="pct"/>
            <w:vMerge w:val="continue"/>
            <w:tcBorders>
              <w:left w:val="single" w:color="auto" w:sz="4" w:space="0"/>
              <w:right w:val="single" w:color="000000" w:sz="4" w:space="0"/>
            </w:tcBorders>
            <w:noWrap/>
            <w:vAlign w:val="center"/>
          </w:tcPr>
          <w:p w14:paraId="49DC7D62">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000000" w:sz="4" w:space="0"/>
              <w:right w:val="single" w:color="000000" w:sz="4" w:space="0"/>
            </w:tcBorders>
            <w:vAlign w:val="center"/>
          </w:tcPr>
          <w:p w14:paraId="529A32C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457C1504">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热门搜索</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5C0EBF9E">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提供热门搜索企业信息的展示能力，在合适位置展示用户搜索数排名靠前的10家企业名称。</w:t>
            </w:r>
          </w:p>
        </w:tc>
      </w:tr>
      <w:tr w14:paraId="5596FA17">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381FE7E6">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18</w:t>
            </w:r>
          </w:p>
        </w:tc>
        <w:tc>
          <w:tcPr>
            <w:tcW w:w="923" w:type="pct"/>
            <w:vMerge w:val="continue"/>
            <w:tcBorders>
              <w:left w:val="single" w:color="auto" w:sz="4" w:space="0"/>
              <w:right w:val="single" w:color="000000" w:sz="4" w:space="0"/>
            </w:tcBorders>
            <w:noWrap/>
            <w:vAlign w:val="center"/>
          </w:tcPr>
          <w:p w14:paraId="69CDE13E">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000000" w:sz="4" w:space="0"/>
              <w:right w:val="single" w:color="000000" w:sz="4" w:space="0"/>
            </w:tcBorders>
            <w:vAlign w:val="center"/>
          </w:tcPr>
          <w:p w14:paraId="04B13279">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58C178B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订阅服务</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07B9AE57">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提供企业关注、取消关注功能；同时在企业查询界面展示个人关注企业列表。</w:t>
            </w:r>
          </w:p>
        </w:tc>
      </w:tr>
      <w:tr w14:paraId="2208F357">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226609D4">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19</w:t>
            </w:r>
          </w:p>
        </w:tc>
        <w:tc>
          <w:tcPr>
            <w:tcW w:w="923" w:type="pct"/>
            <w:vMerge w:val="continue"/>
            <w:tcBorders>
              <w:left w:val="single" w:color="auto" w:sz="4" w:space="0"/>
              <w:right w:val="single" w:color="000000" w:sz="4" w:space="0"/>
            </w:tcBorders>
            <w:noWrap/>
            <w:vAlign w:val="center"/>
          </w:tcPr>
          <w:p w14:paraId="7CE00E5D">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000000" w:sz="4" w:space="0"/>
              <w:right w:val="single" w:color="000000" w:sz="4" w:space="0"/>
            </w:tcBorders>
            <w:vAlign w:val="center"/>
          </w:tcPr>
          <w:p w14:paraId="09D95BF9">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1E5BD5B7">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企业预警提示</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21A51E04">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企业详情页面提供直观的预警数提示服务，展示预警信息，并支持查看完整的企业风险预警列表。</w:t>
            </w:r>
          </w:p>
        </w:tc>
      </w:tr>
      <w:tr w14:paraId="48CBC82F">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26BF0CB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20</w:t>
            </w:r>
          </w:p>
        </w:tc>
        <w:tc>
          <w:tcPr>
            <w:tcW w:w="923" w:type="pct"/>
            <w:vMerge w:val="continue"/>
            <w:tcBorders>
              <w:left w:val="single" w:color="auto" w:sz="4" w:space="0"/>
              <w:right w:val="single" w:color="000000" w:sz="4" w:space="0"/>
            </w:tcBorders>
            <w:noWrap/>
            <w:vAlign w:val="center"/>
          </w:tcPr>
          <w:p w14:paraId="2717E8B4">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000000" w:sz="4" w:space="0"/>
              <w:bottom w:val="single" w:color="auto" w:sz="4" w:space="0"/>
              <w:right w:val="single" w:color="000000" w:sz="4" w:space="0"/>
            </w:tcBorders>
            <w:vAlign w:val="center"/>
          </w:tcPr>
          <w:p w14:paraId="55188534">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35CE928B">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企业预警信息查看</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4EC81AA4">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为用户展示含预警数量提示及具体预警详情的风险预警列表，支持预警信息列表导出。</w:t>
            </w:r>
          </w:p>
        </w:tc>
      </w:tr>
      <w:tr w14:paraId="6EDBB96D">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047F5F8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21</w:t>
            </w:r>
          </w:p>
        </w:tc>
        <w:tc>
          <w:tcPr>
            <w:tcW w:w="923" w:type="pct"/>
            <w:vMerge w:val="continue"/>
            <w:tcBorders>
              <w:left w:val="single" w:color="auto" w:sz="4" w:space="0"/>
              <w:right w:val="single" w:color="000000" w:sz="4" w:space="0"/>
            </w:tcBorders>
            <w:noWrap/>
            <w:vAlign w:val="center"/>
          </w:tcPr>
          <w:p w14:paraId="1DEC9B8A">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restart"/>
            <w:tcBorders>
              <w:top w:val="single" w:color="auto" w:sz="4" w:space="0"/>
              <w:left w:val="single" w:color="auto" w:sz="4" w:space="0"/>
              <w:right w:val="single" w:color="auto" w:sz="4" w:space="0"/>
            </w:tcBorders>
            <w:vAlign w:val="center"/>
          </w:tcPr>
          <w:p w14:paraId="41E4B286">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企业预警监测</w:t>
            </w:r>
          </w:p>
        </w:tc>
        <w:tc>
          <w:tcPr>
            <w:tcW w:w="923" w:type="pct"/>
            <w:tcBorders>
              <w:top w:val="single" w:color="auto" w:sz="4" w:space="0"/>
              <w:left w:val="single" w:color="auto" w:sz="4" w:space="0"/>
              <w:bottom w:val="single" w:color="auto" w:sz="4" w:space="0"/>
              <w:right w:val="single" w:color="auto" w:sz="4" w:space="0"/>
            </w:tcBorders>
            <w:vAlign w:val="center"/>
          </w:tcPr>
          <w:p w14:paraId="3C60DA21">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预警监测总览</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5DCD3D09">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展示全市企业预警数量，支持详情列表展示、趋势变化，重点指标预警和板块数量。</w:t>
            </w:r>
          </w:p>
        </w:tc>
      </w:tr>
      <w:tr w14:paraId="5FF03664">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45C1DD3C">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22</w:t>
            </w:r>
          </w:p>
        </w:tc>
        <w:tc>
          <w:tcPr>
            <w:tcW w:w="923" w:type="pct"/>
            <w:vMerge w:val="continue"/>
            <w:tcBorders>
              <w:left w:val="single" w:color="auto" w:sz="4" w:space="0"/>
              <w:bottom w:val="single" w:color="auto" w:sz="4" w:space="0"/>
              <w:right w:val="single" w:color="000000" w:sz="4" w:space="0"/>
            </w:tcBorders>
            <w:noWrap/>
            <w:vAlign w:val="center"/>
          </w:tcPr>
          <w:p w14:paraId="4B4B1F78">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auto" w:sz="4" w:space="0"/>
              <w:bottom w:val="single" w:color="auto" w:sz="4" w:space="0"/>
              <w:right w:val="single" w:color="auto" w:sz="4" w:space="0"/>
            </w:tcBorders>
            <w:vAlign w:val="center"/>
          </w:tcPr>
          <w:p w14:paraId="27384667">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2DDBB0A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预警详情列表</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544A6E48">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提供全市企业预警信息列表，支持检索，支持查看完整预警信息。</w:t>
            </w:r>
          </w:p>
        </w:tc>
      </w:tr>
      <w:tr w14:paraId="117CC496">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5859E22B">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23</w:t>
            </w:r>
          </w:p>
        </w:tc>
        <w:tc>
          <w:tcPr>
            <w:tcW w:w="923" w:type="pct"/>
            <w:vMerge w:val="continue"/>
            <w:tcBorders>
              <w:top w:val="single" w:color="auto" w:sz="4" w:space="0"/>
              <w:left w:val="single" w:color="auto" w:sz="4" w:space="0"/>
              <w:bottom w:val="single" w:color="auto" w:sz="4" w:space="0"/>
              <w:right w:val="single" w:color="auto" w:sz="4" w:space="0"/>
            </w:tcBorders>
            <w:noWrap/>
            <w:vAlign w:val="center"/>
          </w:tcPr>
          <w:p w14:paraId="1910432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restart"/>
            <w:tcBorders>
              <w:top w:val="single" w:color="auto" w:sz="4" w:space="0"/>
              <w:left w:val="single" w:color="auto" w:sz="4" w:space="0"/>
              <w:bottom w:val="single" w:color="auto" w:sz="4" w:space="0"/>
              <w:right w:val="single" w:color="auto" w:sz="4" w:space="0"/>
            </w:tcBorders>
            <w:vAlign w:val="center"/>
          </w:tcPr>
          <w:p w14:paraId="4FEB976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企业榜单</w:t>
            </w:r>
          </w:p>
        </w:tc>
        <w:tc>
          <w:tcPr>
            <w:tcW w:w="923" w:type="pct"/>
            <w:tcBorders>
              <w:top w:val="single" w:color="auto" w:sz="4" w:space="0"/>
              <w:left w:val="single" w:color="auto" w:sz="4" w:space="0"/>
              <w:bottom w:val="single" w:color="auto" w:sz="4" w:space="0"/>
              <w:right w:val="single" w:color="auto" w:sz="4" w:space="0"/>
            </w:tcBorders>
            <w:vAlign w:val="center"/>
          </w:tcPr>
          <w:p w14:paraId="51DF032A">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上市企业榜单</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311D98DB">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按预设指标排序展示上市企业榜单；提供快捷搜索、详情查看、列表导出等功能。</w:t>
            </w:r>
          </w:p>
        </w:tc>
      </w:tr>
      <w:tr w14:paraId="10FD8FBE">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7DE6D25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24</w:t>
            </w:r>
          </w:p>
        </w:tc>
        <w:tc>
          <w:tcPr>
            <w:tcW w:w="923" w:type="pct"/>
            <w:vMerge w:val="continue"/>
            <w:tcBorders>
              <w:top w:val="single" w:color="auto" w:sz="4" w:space="0"/>
              <w:left w:val="single" w:color="auto" w:sz="4" w:space="0"/>
              <w:bottom w:val="single" w:color="auto" w:sz="4" w:space="0"/>
              <w:right w:val="single" w:color="auto" w:sz="4" w:space="0"/>
            </w:tcBorders>
            <w:noWrap/>
            <w:vAlign w:val="center"/>
          </w:tcPr>
          <w:p w14:paraId="52CE515F">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143DAE51">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7927CF83">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规上企业榜单</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508ADDCE">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按预设指标排序展示规模以上企业榜单；提供快捷搜索、详情查看、列表导出等功能。</w:t>
            </w:r>
          </w:p>
        </w:tc>
      </w:tr>
      <w:tr w14:paraId="671675A0">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14AC3514">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25</w:t>
            </w:r>
          </w:p>
        </w:tc>
        <w:tc>
          <w:tcPr>
            <w:tcW w:w="923" w:type="pct"/>
            <w:vMerge w:val="continue"/>
            <w:tcBorders>
              <w:top w:val="single" w:color="auto" w:sz="4" w:space="0"/>
              <w:left w:val="single" w:color="auto" w:sz="4" w:space="0"/>
              <w:right w:val="single" w:color="000000" w:sz="4" w:space="0"/>
            </w:tcBorders>
            <w:noWrap/>
            <w:vAlign w:val="center"/>
          </w:tcPr>
          <w:p w14:paraId="0A0FF4E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right w:val="single" w:color="auto" w:sz="4" w:space="0"/>
            </w:tcBorders>
            <w:vAlign w:val="center"/>
          </w:tcPr>
          <w:p w14:paraId="3B8C3B70">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433F121B">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企业收入200强榜单</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3B8AD088">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按预设指标排序展示企业收入200强榜单；提供快捷搜索、详情查看、列表导出等功能。</w:t>
            </w:r>
          </w:p>
        </w:tc>
      </w:tr>
      <w:tr w14:paraId="47B32238">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509D1D3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26</w:t>
            </w:r>
          </w:p>
        </w:tc>
        <w:tc>
          <w:tcPr>
            <w:tcW w:w="923" w:type="pct"/>
            <w:vMerge w:val="continue"/>
            <w:tcBorders>
              <w:left w:val="single" w:color="auto" w:sz="4" w:space="0"/>
              <w:right w:val="single" w:color="000000" w:sz="4" w:space="0"/>
            </w:tcBorders>
            <w:noWrap/>
            <w:vAlign w:val="center"/>
          </w:tcPr>
          <w:p w14:paraId="3C0410FD">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auto" w:sz="4" w:space="0"/>
              <w:right w:val="single" w:color="auto" w:sz="4" w:space="0"/>
            </w:tcBorders>
            <w:vAlign w:val="center"/>
          </w:tcPr>
          <w:p w14:paraId="7EEA7797">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24BFAAEC">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企业税收200强榜单</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1DA6D066">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按预设指标排序展示企业税收200强榜单；提供快捷搜索、详情查看、列表导出等功能。</w:t>
            </w:r>
          </w:p>
        </w:tc>
      </w:tr>
      <w:tr w14:paraId="3D9612FC">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19B199C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27</w:t>
            </w:r>
          </w:p>
        </w:tc>
        <w:tc>
          <w:tcPr>
            <w:tcW w:w="923" w:type="pct"/>
            <w:vMerge w:val="continue"/>
            <w:tcBorders>
              <w:left w:val="single" w:color="auto" w:sz="4" w:space="0"/>
              <w:right w:val="single" w:color="000000" w:sz="4" w:space="0"/>
            </w:tcBorders>
            <w:noWrap/>
            <w:vAlign w:val="center"/>
          </w:tcPr>
          <w:p w14:paraId="50F84674">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auto" w:sz="4" w:space="0"/>
              <w:right w:val="single" w:color="auto" w:sz="4" w:space="0"/>
            </w:tcBorders>
            <w:vAlign w:val="center"/>
          </w:tcPr>
          <w:p w14:paraId="026C9D2E">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3703426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企业专利200强榜单</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21A493D4">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按预设指标排序展示企业专利200强榜单；提供快捷搜索、详情查看、列表导出等功能。</w:t>
            </w:r>
          </w:p>
        </w:tc>
      </w:tr>
      <w:tr w14:paraId="585C0E26">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28E6358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28</w:t>
            </w:r>
          </w:p>
        </w:tc>
        <w:tc>
          <w:tcPr>
            <w:tcW w:w="923" w:type="pct"/>
            <w:vMerge w:val="continue"/>
            <w:tcBorders>
              <w:left w:val="single" w:color="auto" w:sz="4" w:space="0"/>
              <w:right w:val="single" w:color="000000" w:sz="4" w:space="0"/>
            </w:tcBorders>
            <w:noWrap/>
            <w:vAlign w:val="center"/>
          </w:tcPr>
          <w:p w14:paraId="2D4D439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auto" w:sz="4" w:space="0"/>
              <w:bottom w:val="single" w:color="auto" w:sz="4" w:space="0"/>
              <w:right w:val="single" w:color="auto" w:sz="4" w:space="0"/>
            </w:tcBorders>
            <w:vAlign w:val="center"/>
          </w:tcPr>
          <w:p w14:paraId="5F9295BE">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719DE60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企业标签榜单</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1C1C75E8">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依据各类企业标签形成榜单；提供快捷搜索、详情查看、列表导出等功能。</w:t>
            </w:r>
          </w:p>
        </w:tc>
      </w:tr>
      <w:tr w14:paraId="06C1D7CA">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220A627F">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29</w:t>
            </w:r>
          </w:p>
        </w:tc>
        <w:tc>
          <w:tcPr>
            <w:tcW w:w="923" w:type="pct"/>
            <w:vMerge w:val="continue"/>
            <w:tcBorders>
              <w:left w:val="single" w:color="auto" w:sz="4" w:space="0"/>
              <w:right w:val="single" w:color="000000" w:sz="4" w:space="0"/>
            </w:tcBorders>
            <w:noWrap/>
            <w:vAlign w:val="center"/>
          </w:tcPr>
          <w:p w14:paraId="1A2BB7C8">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restart"/>
            <w:tcBorders>
              <w:top w:val="single" w:color="auto" w:sz="4" w:space="0"/>
              <w:left w:val="single" w:color="auto" w:sz="4" w:space="0"/>
              <w:bottom w:val="single" w:color="auto" w:sz="4" w:space="0"/>
              <w:right w:val="single" w:color="auto" w:sz="4" w:space="0"/>
            </w:tcBorders>
            <w:vAlign w:val="center"/>
          </w:tcPr>
          <w:p w14:paraId="1BBBED4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企业对比</w:t>
            </w:r>
          </w:p>
        </w:tc>
        <w:tc>
          <w:tcPr>
            <w:tcW w:w="923" w:type="pct"/>
            <w:tcBorders>
              <w:top w:val="single" w:color="auto" w:sz="4" w:space="0"/>
              <w:left w:val="single" w:color="auto" w:sz="4" w:space="0"/>
              <w:bottom w:val="single" w:color="auto" w:sz="4" w:space="0"/>
              <w:right w:val="single" w:color="auto" w:sz="4" w:space="0"/>
            </w:tcBorders>
            <w:vAlign w:val="center"/>
          </w:tcPr>
          <w:p w14:paraId="16750C1D">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对比企业添加</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187B16E2">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支持对2-3家企业进行信息对比，关联企业库添加目标。</w:t>
            </w:r>
          </w:p>
        </w:tc>
      </w:tr>
      <w:tr w14:paraId="5AD08ABA">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28524F6B">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30</w:t>
            </w:r>
          </w:p>
        </w:tc>
        <w:tc>
          <w:tcPr>
            <w:tcW w:w="923" w:type="pct"/>
            <w:vMerge w:val="continue"/>
            <w:tcBorders>
              <w:left w:val="single" w:color="auto" w:sz="4" w:space="0"/>
              <w:right w:val="single" w:color="000000" w:sz="4" w:space="0"/>
            </w:tcBorders>
            <w:noWrap/>
            <w:vAlign w:val="center"/>
          </w:tcPr>
          <w:p w14:paraId="75E7599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22082E45">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17CD55D3">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基础信息比较</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5087E59E">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展示对比信息，包括名称、时间、注册资本、类型、行业等信息。</w:t>
            </w:r>
          </w:p>
        </w:tc>
      </w:tr>
      <w:tr w14:paraId="264301D4">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5962CF81">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31</w:t>
            </w:r>
          </w:p>
        </w:tc>
        <w:tc>
          <w:tcPr>
            <w:tcW w:w="923" w:type="pct"/>
            <w:vMerge w:val="continue"/>
            <w:tcBorders>
              <w:left w:val="single" w:color="auto" w:sz="4" w:space="0"/>
              <w:right w:val="single" w:color="000000" w:sz="4" w:space="0"/>
            </w:tcBorders>
            <w:noWrap/>
            <w:vAlign w:val="center"/>
          </w:tcPr>
          <w:p w14:paraId="0842A08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1C7864B0">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00DE5A0A">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经营数据比较</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10F045C3">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展示对比信息，如产值、营收、税收、风险指标等，支持可视化图表形式展示。</w:t>
            </w:r>
          </w:p>
        </w:tc>
      </w:tr>
      <w:tr w14:paraId="00106C24">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16A141B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32</w:t>
            </w:r>
          </w:p>
        </w:tc>
        <w:tc>
          <w:tcPr>
            <w:tcW w:w="923" w:type="pct"/>
            <w:vMerge w:val="continue"/>
            <w:tcBorders>
              <w:left w:val="single" w:color="auto" w:sz="4" w:space="0"/>
              <w:right w:val="single" w:color="000000" w:sz="4" w:space="0"/>
            </w:tcBorders>
            <w:noWrap/>
            <w:vAlign w:val="center"/>
          </w:tcPr>
          <w:p w14:paraId="1864A99C">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175CB715">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1D8731DF">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创新能力比较</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4F710600">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展示对比数据，以可视化图表形式展示。</w:t>
            </w:r>
          </w:p>
        </w:tc>
      </w:tr>
      <w:tr w14:paraId="74C0E955">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71DF50B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33</w:t>
            </w:r>
          </w:p>
        </w:tc>
        <w:tc>
          <w:tcPr>
            <w:tcW w:w="923" w:type="pct"/>
            <w:vMerge w:val="continue"/>
            <w:tcBorders>
              <w:left w:val="single" w:color="auto" w:sz="4" w:space="0"/>
              <w:right w:val="single" w:color="000000" w:sz="4" w:space="0"/>
            </w:tcBorders>
            <w:noWrap/>
            <w:vAlign w:val="center"/>
          </w:tcPr>
          <w:p w14:paraId="52A05CE1">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346C1188">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1D6E0A51">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企业发展比较</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5087CC47">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展示对比数据，如用工人数、土地面积等，以可视化图表形式展示。</w:t>
            </w:r>
          </w:p>
        </w:tc>
      </w:tr>
      <w:tr w14:paraId="1FAAAD5E">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30BC614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34</w:t>
            </w:r>
          </w:p>
        </w:tc>
        <w:tc>
          <w:tcPr>
            <w:tcW w:w="923" w:type="pct"/>
            <w:vMerge w:val="continue"/>
            <w:tcBorders>
              <w:left w:val="single" w:color="auto" w:sz="4" w:space="0"/>
              <w:right w:val="single" w:color="000000" w:sz="4" w:space="0"/>
            </w:tcBorders>
            <w:noWrap/>
            <w:vAlign w:val="center"/>
          </w:tcPr>
          <w:p w14:paraId="07DC4DF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top w:val="single" w:color="auto" w:sz="4" w:space="0"/>
              <w:left w:val="single" w:color="auto" w:sz="4" w:space="0"/>
              <w:bottom w:val="single" w:color="auto" w:sz="4" w:space="0"/>
              <w:right w:val="single" w:color="auto" w:sz="4" w:space="0"/>
            </w:tcBorders>
            <w:vAlign w:val="center"/>
          </w:tcPr>
          <w:p w14:paraId="0572B42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0B44DE93">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对比结果导出</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23C22387">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提供对比结果导出服务，支持选择导出内容。</w:t>
            </w:r>
          </w:p>
        </w:tc>
      </w:tr>
      <w:tr w14:paraId="1C42A1F9">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455D2D0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35</w:t>
            </w:r>
          </w:p>
        </w:tc>
        <w:tc>
          <w:tcPr>
            <w:tcW w:w="923" w:type="pct"/>
            <w:vMerge w:val="continue"/>
            <w:tcBorders>
              <w:left w:val="single" w:color="auto" w:sz="4" w:space="0"/>
              <w:right w:val="single" w:color="000000" w:sz="4" w:space="0"/>
            </w:tcBorders>
            <w:noWrap/>
            <w:vAlign w:val="center"/>
          </w:tcPr>
          <w:p w14:paraId="7403069B">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restart"/>
            <w:tcBorders>
              <w:top w:val="single" w:color="auto" w:sz="4" w:space="0"/>
              <w:left w:val="single" w:color="auto" w:sz="4" w:space="0"/>
              <w:right w:val="single" w:color="auto" w:sz="4" w:space="0"/>
            </w:tcBorders>
            <w:vAlign w:val="center"/>
          </w:tcPr>
          <w:p w14:paraId="0777BCF1">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企业走访</w:t>
            </w:r>
          </w:p>
        </w:tc>
        <w:tc>
          <w:tcPr>
            <w:tcW w:w="923" w:type="pct"/>
            <w:tcBorders>
              <w:top w:val="single" w:color="auto" w:sz="4" w:space="0"/>
              <w:left w:val="single" w:color="auto" w:sz="4" w:space="0"/>
              <w:bottom w:val="single" w:color="auto" w:sz="4" w:space="0"/>
              <w:right w:val="single" w:color="auto" w:sz="4" w:space="0"/>
            </w:tcBorders>
            <w:vAlign w:val="center"/>
          </w:tcPr>
          <w:p w14:paraId="39384F3B">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走访记录管理</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67FEF372">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走访记录管理，展示来源、企业信息等内容，支持新增、编辑、删除；筛选查询功能；批量导出。</w:t>
            </w:r>
          </w:p>
        </w:tc>
      </w:tr>
      <w:tr w14:paraId="06194E2B">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3AAB9549">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36</w:t>
            </w:r>
          </w:p>
        </w:tc>
        <w:tc>
          <w:tcPr>
            <w:tcW w:w="923" w:type="pct"/>
            <w:vMerge w:val="continue"/>
            <w:tcBorders>
              <w:left w:val="single" w:color="auto" w:sz="4" w:space="0"/>
              <w:right w:val="single" w:color="000000" w:sz="4" w:space="0"/>
            </w:tcBorders>
            <w:noWrap/>
            <w:vAlign w:val="center"/>
          </w:tcPr>
          <w:p w14:paraId="14C744AA">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auto" w:sz="4" w:space="0"/>
              <w:bottom w:val="single" w:color="auto" w:sz="4" w:space="0"/>
              <w:right w:val="single" w:color="auto" w:sz="4" w:space="0"/>
            </w:tcBorders>
            <w:vAlign w:val="center"/>
          </w:tcPr>
          <w:p w14:paraId="7D1DD95E">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1E07EF34">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企业详情走访记录展示</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7B42798A">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在企业详情提供走访记录查看，支持进入记录管理页面查看完整走访记录。</w:t>
            </w:r>
          </w:p>
        </w:tc>
      </w:tr>
      <w:tr w14:paraId="1C438D96">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723F027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37</w:t>
            </w:r>
          </w:p>
        </w:tc>
        <w:tc>
          <w:tcPr>
            <w:tcW w:w="923" w:type="pct"/>
            <w:vMerge w:val="continue"/>
            <w:tcBorders>
              <w:left w:val="single" w:color="auto" w:sz="4" w:space="0"/>
              <w:right w:val="single" w:color="000000" w:sz="4" w:space="0"/>
            </w:tcBorders>
            <w:noWrap/>
            <w:vAlign w:val="center"/>
          </w:tcPr>
          <w:p w14:paraId="22706458">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restart"/>
            <w:tcBorders>
              <w:top w:val="single" w:color="auto" w:sz="4" w:space="0"/>
              <w:left w:val="single" w:color="auto" w:sz="4" w:space="0"/>
              <w:right w:val="single" w:color="auto" w:sz="4" w:space="0"/>
            </w:tcBorders>
            <w:vAlign w:val="center"/>
          </w:tcPr>
          <w:p w14:paraId="30A3EA66">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企业报告</w:t>
            </w:r>
          </w:p>
        </w:tc>
        <w:tc>
          <w:tcPr>
            <w:tcW w:w="923" w:type="pct"/>
            <w:tcBorders>
              <w:top w:val="single" w:color="auto" w:sz="4" w:space="0"/>
              <w:left w:val="single" w:color="auto" w:sz="4" w:space="0"/>
              <w:bottom w:val="single" w:color="auto" w:sz="4" w:space="0"/>
              <w:right w:val="single" w:color="auto" w:sz="4" w:space="0"/>
            </w:tcBorders>
            <w:vAlign w:val="center"/>
          </w:tcPr>
          <w:p w14:paraId="4F31AD05">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内容自定义</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7C3AF663">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支持用户在导出报告时自主选择内容范围，可预设多种模板供选择。</w:t>
            </w:r>
          </w:p>
        </w:tc>
      </w:tr>
      <w:tr w14:paraId="4A374B2C">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055912B6">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38</w:t>
            </w:r>
          </w:p>
        </w:tc>
        <w:tc>
          <w:tcPr>
            <w:tcW w:w="923" w:type="pct"/>
            <w:vMerge w:val="continue"/>
            <w:tcBorders>
              <w:left w:val="single" w:color="auto" w:sz="4" w:space="0"/>
              <w:right w:val="single" w:color="000000" w:sz="4" w:space="0"/>
            </w:tcBorders>
            <w:noWrap/>
            <w:vAlign w:val="center"/>
          </w:tcPr>
          <w:p w14:paraId="0B7EB6BB">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auto" w:sz="4" w:space="0"/>
              <w:right w:val="single" w:color="auto" w:sz="4" w:space="0"/>
            </w:tcBorders>
            <w:vAlign w:val="center"/>
          </w:tcPr>
          <w:p w14:paraId="182AA3ED">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0A0B8A57">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模板定制</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796DA706">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支持依据用户需求制作导出模板样式，实现封面与尾页定制，可灵活设置字体、排版等整体风格样式；建立模板保存、预览、复用机制以方便后续使用，同时为导出的PDF文件自动添加水印，防止数据篡改与滥用。</w:t>
            </w:r>
          </w:p>
        </w:tc>
      </w:tr>
      <w:tr w14:paraId="04AED9E1">
        <w:tblPrEx>
          <w:tblCellMar>
            <w:top w:w="0" w:type="dxa"/>
            <w:left w:w="108" w:type="dxa"/>
            <w:bottom w:w="0" w:type="dxa"/>
            <w:right w:w="108" w:type="dxa"/>
          </w:tblCellMar>
        </w:tblPrEx>
        <w:trPr>
          <w:trHeight w:val="0" w:hRule="atLeast"/>
          <w:jc w:val="center"/>
        </w:trPr>
        <w:tc>
          <w:tcPr>
            <w:tcW w:w="369" w:type="pct"/>
            <w:tcBorders>
              <w:top w:val="single" w:color="auto" w:sz="4" w:space="0"/>
              <w:left w:val="single" w:color="auto" w:sz="4" w:space="0"/>
              <w:bottom w:val="single" w:color="auto" w:sz="4" w:space="0"/>
              <w:right w:val="single" w:color="auto" w:sz="4" w:space="0"/>
            </w:tcBorders>
            <w:noWrap/>
            <w:vAlign w:val="center"/>
          </w:tcPr>
          <w:p w14:paraId="113D5A9B">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39</w:t>
            </w:r>
          </w:p>
        </w:tc>
        <w:tc>
          <w:tcPr>
            <w:tcW w:w="923" w:type="pct"/>
            <w:vMerge w:val="continue"/>
            <w:tcBorders>
              <w:left w:val="single" w:color="auto" w:sz="4" w:space="0"/>
              <w:bottom w:val="single" w:color="auto" w:sz="4" w:space="0"/>
              <w:right w:val="single" w:color="000000" w:sz="4" w:space="0"/>
            </w:tcBorders>
            <w:noWrap/>
            <w:vAlign w:val="center"/>
          </w:tcPr>
          <w:p w14:paraId="70ACA817">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923" w:type="pct"/>
            <w:vMerge w:val="continue"/>
            <w:tcBorders>
              <w:left w:val="single" w:color="auto" w:sz="4" w:space="0"/>
              <w:bottom w:val="single" w:color="auto" w:sz="4" w:space="0"/>
              <w:right w:val="single" w:color="auto" w:sz="4" w:space="0"/>
            </w:tcBorders>
            <w:vAlign w:val="center"/>
          </w:tcPr>
          <w:p w14:paraId="6D23262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923" w:type="pct"/>
            <w:tcBorders>
              <w:top w:val="single" w:color="auto" w:sz="4" w:space="0"/>
              <w:left w:val="single" w:color="auto" w:sz="4" w:space="0"/>
              <w:bottom w:val="single" w:color="auto" w:sz="4" w:space="0"/>
              <w:right w:val="single" w:color="auto" w:sz="4" w:space="0"/>
            </w:tcBorders>
            <w:vAlign w:val="center"/>
          </w:tcPr>
          <w:p w14:paraId="79C9C68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导出格式选择</w:t>
            </w:r>
          </w:p>
        </w:tc>
        <w:tc>
          <w:tcPr>
            <w:tcW w:w="1861" w:type="pct"/>
            <w:tcBorders>
              <w:top w:val="single" w:color="auto" w:sz="4" w:space="0"/>
              <w:left w:val="single" w:color="auto" w:sz="4" w:space="0"/>
              <w:bottom w:val="single" w:color="auto" w:sz="4" w:space="0"/>
              <w:right w:val="single" w:color="auto" w:sz="4" w:space="0"/>
            </w:tcBorders>
            <w:shd w:val="clear" w:color="auto" w:fill="auto"/>
            <w:vAlign w:val="center"/>
          </w:tcPr>
          <w:p w14:paraId="76BE0E74">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提供报告导出功能，用户可以自行选择导出格式pdf或word。</w:t>
            </w:r>
          </w:p>
        </w:tc>
      </w:tr>
    </w:tbl>
    <w:p w14:paraId="79C1D4B1">
      <w:pPr>
        <w:spacing w:line="400" w:lineRule="exact"/>
        <w:ind w:firstLine="0" w:firstLineChars="0"/>
      </w:pPr>
    </w:p>
    <w:p w14:paraId="4E9D7C9C">
      <w:pPr>
        <w:pStyle w:val="4"/>
        <w:numPr>
          <w:ilvl w:val="0"/>
          <w:numId w:val="0"/>
        </w:numPr>
        <w:spacing w:line="400" w:lineRule="exact"/>
        <w:ind w:left="567"/>
        <w:rPr>
          <w:rFonts w:hint="default"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rPr>
        <w:t>3.1.4</w:t>
      </w:r>
      <w:r>
        <w:rPr>
          <w:rFonts w:hint="eastAsia" w:cs="黑体" w:asciiTheme="minorEastAsia" w:hAnsiTheme="minorEastAsia" w:eastAsiaTheme="minorEastAsia"/>
          <w:sz w:val="24"/>
          <w:szCs w:val="24"/>
          <w:lang w:val="en-US" w:eastAsia="zh-CN"/>
        </w:rPr>
        <w:t>经济运行分析服务建设</w:t>
      </w:r>
    </w:p>
    <w:tbl>
      <w:tblPr>
        <w:tblStyle w:val="1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8"/>
        <w:gridCol w:w="1506"/>
        <w:gridCol w:w="1906"/>
        <w:gridCol w:w="1424"/>
        <w:gridCol w:w="3045"/>
      </w:tblGrid>
      <w:tr w14:paraId="33900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355" w:type="pct"/>
            <w:tcBorders>
              <w:tl2br w:val="nil"/>
              <w:tr2bl w:val="nil"/>
            </w:tcBorders>
            <w:noWrap/>
            <w:vAlign w:val="center"/>
          </w:tcPr>
          <w:p w14:paraId="51242322">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序号</w:t>
            </w:r>
          </w:p>
        </w:tc>
        <w:tc>
          <w:tcPr>
            <w:tcW w:w="889" w:type="pct"/>
            <w:tcBorders>
              <w:tl2br w:val="nil"/>
              <w:tr2bl w:val="nil"/>
            </w:tcBorders>
            <w:vAlign w:val="center"/>
          </w:tcPr>
          <w:p w14:paraId="08EE2458">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分项名称</w:t>
            </w:r>
          </w:p>
        </w:tc>
        <w:tc>
          <w:tcPr>
            <w:tcW w:w="1123" w:type="pct"/>
            <w:tcBorders>
              <w:tl2br w:val="nil"/>
              <w:tr2bl w:val="nil"/>
            </w:tcBorders>
            <w:vAlign w:val="center"/>
          </w:tcPr>
          <w:p w14:paraId="299683F4">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模块名称</w:t>
            </w:r>
          </w:p>
        </w:tc>
        <w:tc>
          <w:tcPr>
            <w:tcW w:w="840" w:type="pct"/>
            <w:tcBorders>
              <w:tl2br w:val="nil"/>
              <w:tr2bl w:val="nil"/>
            </w:tcBorders>
            <w:vAlign w:val="center"/>
          </w:tcPr>
          <w:p w14:paraId="3BFF8061">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子功能名称</w:t>
            </w:r>
          </w:p>
        </w:tc>
        <w:tc>
          <w:tcPr>
            <w:tcW w:w="1791" w:type="pct"/>
            <w:tcBorders>
              <w:tl2br w:val="nil"/>
              <w:tr2bl w:val="nil"/>
            </w:tcBorders>
            <w:vAlign w:val="center"/>
          </w:tcPr>
          <w:p w14:paraId="6BBE247A">
            <w:pPr>
              <w:widowControl/>
              <w:snapToGrid w:val="0"/>
              <w:spacing w:line="240" w:lineRule="auto"/>
              <w:ind w:left="0" w:leftChars="0" w:right="0" w:rightChars="0" w:firstLine="0" w:firstLineChars="0"/>
              <w:jc w:val="center"/>
              <w:textAlignment w:val="center"/>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功能要求</w:t>
            </w:r>
          </w:p>
        </w:tc>
      </w:tr>
      <w:tr w14:paraId="106CA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7F93419C">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889" w:type="pct"/>
            <w:vMerge w:val="restart"/>
            <w:tcBorders>
              <w:tl2br w:val="nil"/>
              <w:tr2bl w:val="nil"/>
            </w:tcBorders>
            <w:noWrap/>
            <w:vAlign w:val="center"/>
          </w:tcPr>
          <w:p w14:paraId="54B8476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经济运行分析</w:t>
            </w:r>
          </w:p>
        </w:tc>
        <w:tc>
          <w:tcPr>
            <w:tcW w:w="1123" w:type="pct"/>
            <w:tcBorders>
              <w:tl2br w:val="nil"/>
              <w:tr2bl w:val="nil"/>
            </w:tcBorders>
            <w:vAlign w:val="center"/>
          </w:tcPr>
          <w:p w14:paraId="5E6E8991">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经济运行分析总览</w:t>
            </w:r>
          </w:p>
        </w:tc>
        <w:tc>
          <w:tcPr>
            <w:tcW w:w="840" w:type="pct"/>
            <w:tcBorders>
              <w:tl2br w:val="nil"/>
              <w:tr2bl w:val="nil"/>
            </w:tcBorders>
            <w:vAlign w:val="center"/>
          </w:tcPr>
          <w:p w14:paraId="34C22E55">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数据展示和导出</w:t>
            </w:r>
          </w:p>
        </w:tc>
        <w:tc>
          <w:tcPr>
            <w:tcW w:w="1791" w:type="pct"/>
            <w:tcBorders>
              <w:tl2br w:val="nil"/>
              <w:tr2bl w:val="nil"/>
            </w:tcBorders>
            <w:vAlign w:val="center"/>
          </w:tcPr>
          <w:p w14:paraId="0F0D0BE3">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提供核心指标最新汇总数据展示和具体指标展示。</w:t>
            </w:r>
          </w:p>
        </w:tc>
      </w:tr>
      <w:tr w14:paraId="5BCBB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2F0AEA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p>
        </w:tc>
        <w:tc>
          <w:tcPr>
            <w:tcW w:w="889" w:type="pct"/>
            <w:vMerge w:val="continue"/>
            <w:tcBorders>
              <w:tl2br w:val="nil"/>
              <w:tr2bl w:val="nil"/>
            </w:tcBorders>
            <w:noWrap/>
            <w:vAlign w:val="center"/>
          </w:tcPr>
          <w:p w14:paraId="17C546F5">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restart"/>
            <w:tcBorders>
              <w:tl2br w:val="nil"/>
              <w:tr2bl w:val="nil"/>
            </w:tcBorders>
            <w:shd w:val="clear" w:color="auto" w:fill="auto"/>
            <w:vAlign w:val="center"/>
          </w:tcPr>
          <w:p w14:paraId="0CA4F7F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具体指标分析</w:t>
            </w:r>
          </w:p>
        </w:tc>
        <w:tc>
          <w:tcPr>
            <w:tcW w:w="840" w:type="pct"/>
            <w:tcBorders>
              <w:tl2br w:val="nil"/>
              <w:tr2bl w:val="nil"/>
            </w:tcBorders>
            <w:shd w:val="clear" w:color="auto" w:fill="auto"/>
            <w:vAlign w:val="center"/>
          </w:tcPr>
          <w:p w14:paraId="7DCF6C6C">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GDP指标核算明细</w:t>
            </w:r>
          </w:p>
        </w:tc>
        <w:tc>
          <w:tcPr>
            <w:tcW w:w="1791" w:type="pct"/>
            <w:tcBorders>
              <w:tl2br w:val="nil"/>
              <w:tr2bl w:val="nil"/>
            </w:tcBorders>
            <w:vAlign w:val="center"/>
          </w:tcPr>
          <w:p w14:paraId="3DBE112A">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展示各行各业基础指标的具体GDP增速数据。</w:t>
            </w:r>
          </w:p>
        </w:tc>
      </w:tr>
      <w:tr w14:paraId="5E2A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3F0C5B6">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p>
        </w:tc>
        <w:tc>
          <w:tcPr>
            <w:tcW w:w="889" w:type="pct"/>
            <w:vMerge w:val="continue"/>
            <w:tcBorders>
              <w:tl2br w:val="nil"/>
              <w:tr2bl w:val="nil"/>
            </w:tcBorders>
            <w:noWrap/>
            <w:vAlign w:val="center"/>
          </w:tcPr>
          <w:p w14:paraId="12E0071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shd w:val="clear" w:color="auto" w:fill="auto"/>
            <w:vAlign w:val="center"/>
          </w:tcPr>
          <w:p w14:paraId="3A537BA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p>
        </w:tc>
        <w:tc>
          <w:tcPr>
            <w:tcW w:w="840" w:type="pct"/>
            <w:tcBorders>
              <w:tl2br w:val="nil"/>
              <w:tr2bl w:val="nil"/>
            </w:tcBorders>
            <w:shd w:val="clear" w:color="auto" w:fill="auto"/>
            <w:vAlign w:val="center"/>
          </w:tcPr>
          <w:p w14:paraId="3203909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规上工业产值</w:t>
            </w:r>
          </w:p>
        </w:tc>
        <w:tc>
          <w:tcPr>
            <w:tcW w:w="1791" w:type="pct"/>
            <w:tcBorders>
              <w:tl2br w:val="nil"/>
              <w:tr2bl w:val="nil"/>
            </w:tcBorders>
            <w:vAlign w:val="center"/>
          </w:tcPr>
          <w:p w14:paraId="119B9995">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展示规上工业生产相关数据，支持一级分类展示，二级分板块、行业、重点企业维度展示。</w:t>
            </w:r>
          </w:p>
        </w:tc>
      </w:tr>
      <w:tr w14:paraId="508FA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40A3552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p>
        </w:tc>
        <w:tc>
          <w:tcPr>
            <w:tcW w:w="889" w:type="pct"/>
            <w:vMerge w:val="continue"/>
            <w:tcBorders>
              <w:tl2br w:val="nil"/>
              <w:tr2bl w:val="nil"/>
            </w:tcBorders>
            <w:noWrap/>
            <w:vAlign w:val="center"/>
          </w:tcPr>
          <w:p w14:paraId="5528E971">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08BD8AE5">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69C9F9F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限上单位贸易额</w:t>
            </w:r>
          </w:p>
        </w:tc>
        <w:tc>
          <w:tcPr>
            <w:tcW w:w="1791" w:type="pct"/>
            <w:tcBorders>
              <w:tl2br w:val="nil"/>
              <w:tr2bl w:val="nil"/>
            </w:tcBorders>
            <w:vAlign w:val="center"/>
          </w:tcPr>
          <w:p w14:paraId="5A8E2A51">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展示限上单位贸易数据，一级分总览、批发业、零售业；二级可分板块、分商品类别、分重点企业三个维度进行展示。</w:t>
            </w:r>
          </w:p>
        </w:tc>
      </w:tr>
      <w:tr w14:paraId="10295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67745B6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w:t>
            </w:r>
          </w:p>
        </w:tc>
        <w:tc>
          <w:tcPr>
            <w:tcW w:w="889" w:type="pct"/>
            <w:vMerge w:val="continue"/>
            <w:tcBorders>
              <w:tl2br w:val="nil"/>
              <w:tr2bl w:val="nil"/>
            </w:tcBorders>
            <w:noWrap/>
            <w:vAlign w:val="center"/>
          </w:tcPr>
          <w:p w14:paraId="1746D5BF">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5C3D2B42">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7BA77CC8">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规上营利性服务业营业收入</w:t>
            </w:r>
          </w:p>
        </w:tc>
        <w:tc>
          <w:tcPr>
            <w:tcW w:w="1791" w:type="pct"/>
            <w:tcBorders>
              <w:tl2br w:val="nil"/>
              <w:tr2bl w:val="nil"/>
            </w:tcBorders>
            <w:vAlign w:val="center"/>
          </w:tcPr>
          <w:p w14:paraId="7B79EE84">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展示规上营利性服务业务营业收入数据，可分板块、分行业进行展示，可关联对应重点企业信息展示。</w:t>
            </w:r>
          </w:p>
        </w:tc>
      </w:tr>
      <w:tr w14:paraId="111D9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7BE5F0F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p>
        </w:tc>
        <w:tc>
          <w:tcPr>
            <w:tcW w:w="889" w:type="pct"/>
            <w:vMerge w:val="continue"/>
            <w:tcBorders>
              <w:tl2br w:val="nil"/>
              <w:tr2bl w:val="nil"/>
            </w:tcBorders>
            <w:noWrap/>
            <w:vAlign w:val="center"/>
          </w:tcPr>
          <w:p w14:paraId="641E3958">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02C93252">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1DB068B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商品房销售面积</w:t>
            </w:r>
          </w:p>
        </w:tc>
        <w:tc>
          <w:tcPr>
            <w:tcW w:w="1791" w:type="pct"/>
            <w:tcBorders>
              <w:tl2br w:val="nil"/>
              <w:tr2bl w:val="nil"/>
            </w:tcBorders>
            <w:vAlign w:val="center"/>
          </w:tcPr>
          <w:p w14:paraId="74C4797B">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展示商品房销售相关数据，分别按照商品房纳统情况、网签情况、网签和纳统对比情况三个维度展示。</w:t>
            </w:r>
          </w:p>
        </w:tc>
      </w:tr>
      <w:tr w14:paraId="6DD97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47A1192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p>
        </w:tc>
        <w:tc>
          <w:tcPr>
            <w:tcW w:w="889" w:type="pct"/>
            <w:vMerge w:val="continue"/>
            <w:tcBorders>
              <w:tl2br w:val="nil"/>
              <w:tr2bl w:val="nil"/>
            </w:tcBorders>
            <w:noWrap/>
            <w:vAlign w:val="center"/>
          </w:tcPr>
          <w:p w14:paraId="4835C42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27F30CD5">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871C16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固定资产投资</w:t>
            </w:r>
          </w:p>
        </w:tc>
        <w:tc>
          <w:tcPr>
            <w:tcW w:w="1791" w:type="pct"/>
            <w:tcBorders>
              <w:tl2br w:val="nil"/>
              <w:tr2bl w:val="nil"/>
            </w:tcBorders>
            <w:vAlign w:val="center"/>
          </w:tcPr>
          <w:p w14:paraId="7A81EA25">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展示固定资产投资领域相关数据，分别按照板块、工业投资、服务业投资、民间投资四个维度进行展示。</w:t>
            </w:r>
          </w:p>
        </w:tc>
      </w:tr>
      <w:tr w14:paraId="6B0D9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2C1FC3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p>
        </w:tc>
        <w:tc>
          <w:tcPr>
            <w:tcW w:w="889" w:type="pct"/>
            <w:vMerge w:val="continue"/>
            <w:tcBorders>
              <w:tl2br w:val="nil"/>
              <w:tr2bl w:val="nil"/>
            </w:tcBorders>
            <w:noWrap/>
            <w:vAlign w:val="center"/>
          </w:tcPr>
          <w:p w14:paraId="14492695">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02FAF0A7">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5E1FCFD8">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进出口总额</w:t>
            </w:r>
          </w:p>
        </w:tc>
        <w:tc>
          <w:tcPr>
            <w:tcW w:w="1791" w:type="pct"/>
            <w:tcBorders>
              <w:tl2br w:val="nil"/>
              <w:tr2bl w:val="nil"/>
            </w:tcBorders>
            <w:vAlign w:val="center"/>
          </w:tcPr>
          <w:p w14:paraId="42C6A2A1">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展示进出口相关贸易数据，可分板块、分无锡大市区域两个维度去展示。</w:t>
            </w:r>
          </w:p>
        </w:tc>
      </w:tr>
      <w:tr w14:paraId="399C9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3309432B">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p>
        </w:tc>
        <w:tc>
          <w:tcPr>
            <w:tcW w:w="889" w:type="pct"/>
            <w:vMerge w:val="continue"/>
            <w:tcBorders>
              <w:tl2br w:val="nil"/>
              <w:tr2bl w:val="nil"/>
            </w:tcBorders>
            <w:noWrap/>
            <w:vAlign w:val="center"/>
          </w:tcPr>
          <w:p w14:paraId="09670F9F">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2277D8E3">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35783DA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实际利用外资</w:t>
            </w:r>
          </w:p>
        </w:tc>
        <w:tc>
          <w:tcPr>
            <w:tcW w:w="1791" w:type="pct"/>
            <w:tcBorders>
              <w:tl2br w:val="nil"/>
              <w:tr2bl w:val="nil"/>
            </w:tcBorders>
            <w:vAlign w:val="center"/>
          </w:tcPr>
          <w:p w14:paraId="451CD8CC">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分板块展示各区域实际利用外资数据情况。</w:t>
            </w:r>
          </w:p>
        </w:tc>
      </w:tr>
      <w:tr w14:paraId="67304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2A43432">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10</w:t>
            </w:r>
          </w:p>
        </w:tc>
        <w:tc>
          <w:tcPr>
            <w:tcW w:w="889" w:type="pct"/>
            <w:vMerge w:val="continue"/>
            <w:tcBorders>
              <w:tl2br w:val="nil"/>
              <w:tr2bl w:val="nil"/>
            </w:tcBorders>
            <w:noWrap/>
            <w:vAlign w:val="center"/>
          </w:tcPr>
          <w:p w14:paraId="252E69A5">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2D4ED2D6">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186495B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一般公共预算收入</w:t>
            </w:r>
          </w:p>
        </w:tc>
        <w:tc>
          <w:tcPr>
            <w:tcW w:w="1791" w:type="pct"/>
            <w:tcBorders>
              <w:tl2br w:val="nil"/>
              <w:tr2bl w:val="nil"/>
            </w:tcBorders>
            <w:vAlign w:val="center"/>
          </w:tcPr>
          <w:p w14:paraId="71FBA462">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展示一般公共预算收入相关数据，分别从无锡地区、周边地区、板块、行业四个维度进行展示。</w:t>
            </w:r>
          </w:p>
        </w:tc>
      </w:tr>
      <w:tr w14:paraId="74AE8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31ADCE2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p>
        </w:tc>
        <w:tc>
          <w:tcPr>
            <w:tcW w:w="889" w:type="pct"/>
            <w:vMerge w:val="continue"/>
            <w:tcBorders>
              <w:tl2br w:val="nil"/>
              <w:tr2bl w:val="nil"/>
            </w:tcBorders>
            <w:noWrap/>
            <w:vAlign w:val="center"/>
          </w:tcPr>
          <w:p w14:paraId="2CD9A8B5">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60A9E725">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295657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金融存贷款余额</w:t>
            </w:r>
          </w:p>
        </w:tc>
        <w:tc>
          <w:tcPr>
            <w:tcW w:w="1791" w:type="pct"/>
            <w:tcBorders>
              <w:tl2br w:val="nil"/>
              <w:tr2bl w:val="nil"/>
            </w:tcBorders>
            <w:vAlign w:val="center"/>
          </w:tcPr>
          <w:p w14:paraId="4A78FE84">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展示全市金融存贷款余额情况，从金融存贷款余额总体情况、行业贷款余额情况等进行展示。</w:t>
            </w:r>
          </w:p>
        </w:tc>
      </w:tr>
      <w:tr w14:paraId="26BEB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59F7AE2F">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12</w:t>
            </w:r>
          </w:p>
        </w:tc>
        <w:tc>
          <w:tcPr>
            <w:tcW w:w="889" w:type="pct"/>
            <w:vMerge w:val="continue"/>
            <w:tcBorders>
              <w:tl2br w:val="nil"/>
              <w:tr2bl w:val="nil"/>
            </w:tcBorders>
            <w:noWrap/>
            <w:vAlign w:val="center"/>
          </w:tcPr>
          <w:p w14:paraId="36328168">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668B838">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7AF303A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信心指数</w:t>
            </w:r>
          </w:p>
        </w:tc>
        <w:tc>
          <w:tcPr>
            <w:tcW w:w="1791" w:type="pct"/>
            <w:tcBorders>
              <w:tl2br w:val="nil"/>
              <w:tr2bl w:val="nil"/>
            </w:tcBorders>
            <w:vAlign w:val="center"/>
          </w:tcPr>
          <w:p w14:paraId="4D288A17">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总览展示全市各项市场信息指数情况，可从价格指数和居民人均可支配收入两个维度进行展示。</w:t>
            </w:r>
          </w:p>
        </w:tc>
      </w:tr>
      <w:tr w14:paraId="4E630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3EDFED4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13</w:t>
            </w:r>
          </w:p>
        </w:tc>
        <w:tc>
          <w:tcPr>
            <w:tcW w:w="889" w:type="pct"/>
            <w:vMerge w:val="continue"/>
            <w:tcBorders>
              <w:tl2br w:val="nil"/>
              <w:tr2bl w:val="nil"/>
            </w:tcBorders>
            <w:noWrap/>
            <w:vAlign w:val="center"/>
          </w:tcPr>
          <w:p w14:paraId="7C8BCB99">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468655F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54C3BF6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市场主体</w:t>
            </w:r>
          </w:p>
        </w:tc>
        <w:tc>
          <w:tcPr>
            <w:tcW w:w="1791" w:type="pct"/>
            <w:tcBorders>
              <w:tl2br w:val="nil"/>
              <w:tr2bl w:val="nil"/>
            </w:tcBorders>
            <w:vAlign w:val="center"/>
          </w:tcPr>
          <w:p w14:paraId="19340B60">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总览展示全市各类市场主体情况，分析各类市场主体变化趋势。</w:t>
            </w:r>
          </w:p>
        </w:tc>
      </w:tr>
      <w:tr w14:paraId="4CAC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54B26DB3">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14</w:t>
            </w:r>
          </w:p>
        </w:tc>
        <w:tc>
          <w:tcPr>
            <w:tcW w:w="889" w:type="pct"/>
            <w:vMerge w:val="continue"/>
            <w:tcBorders>
              <w:tl2br w:val="nil"/>
              <w:tr2bl w:val="nil"/>
            </w:tcBorders>
            <w:noWrap/>
            <w:vAlign w:val="center"/>
          </w:tcPr>
          <w:p w14:paraId="10805974">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03991E2">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67B44DB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就业情况</w:t>
            </w:r>
          </w:p>
        </w:tc>
        <w:tc>
          <w:tcPr>
            <w:tcW w:w="1791" w:type="pct"/>
            <w:tcBorders>
              <w:tl2br w:val="nil"/>
              <w:tr2bl w:val="nil"/>
            </w:tcBorders>
            <w:vAlign w:val="center"/>
          </w:tcPr>
          <w:p w14:paraId="413EE660">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总览展示全市就业情况，分析展示就业和失业数据。</w:t>
            </w:r>
          </w:p>
        </w:tc>
      </w:tr>
      <w:tr w14:paraId="59B98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B9AAC73">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15</w:t>
            </w:r>
          </w:p>
        </w:tc>
        <w:tc>
          <w:tcPr>
            <w:tcW w:w="889" w:type="pct"/>
            <w:vMerge w:val="continue"/>
            <w:tcBorders>
              <w:tl2br w:val="nil"/>
              <w:tr2bl w:val="nil"/>
            </w:tcBorders>
            <w:noWrap/>
            <w:vAlign w:val="center"/>
          </w:tcPr>
          <w:p w14:paraId="7652B8A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restart"/>
            <w:tcBorders>
              <w:tl2br w:val="nil"/>
              <w:tr2bl w:val="nil"/>
            </w:tcBorders>
            <w:vAlign w:val="center"/>
          </w:tcPr>
          <w:p w14:paraId="02949A08">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生成经济指标报告</w:t>
            </w:r>
          </w:p>
        </w:tc>
        <w:tc>
          <w:tcPr>
            <w:tcW w:w="840" w:type="pct"/>
            <w:tcBorders>
              <w:tl2br w:val="nil"/>
              <w:tr2bl w:val="nil"/>
            </w:tcBorders>
            <w:vAlign w:val="center"/>
          </w:tcPr>
          <w:p w14:paraId="46C4306C">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数据挖掘与分析</w:t>
            </w:r>
          </w:p>
        </w:tc>
        <w:tc>
          <w:tcPr>
            <w:tcW w:w="1791" w:type="pct"/>
            <w:tcBorders>
              <w:tl2br w:val="nil"/>
              <w:tr2bl w:val="nil"/>
            </w:tcBorders>
            <w:vAlign w:val="center"/>
          </w:tcPr>
          <w:p w14:paraId="31BAE053">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分别从企业、行业和区域经济三个层面结合各项经济指标数据进行深入分析和对比。</w:t>
            </w:r>
          </w:p>
        </w:tc>
      </w:tr>
      <w:tr w14:paraId="4F739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306C727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16</w:t>
            </w:r>
          </w:p>
        </w:tc>
        <w:tc>
          <w:tcPr>
            <w:tcW w:w="889" w:type="pct"/>
            <w:vMerge w:val="continue"/>
            <w:tcBorders>
              <w:tl2br w:val="nil"/>
              <w:tr2bl w:val="nil"/>
            </w:tcBorders>
            <w:noWrap/>
            <w:vAlign w:val="center"/>
          </w:tcPr>
          <w:p w14:paraId="545E2A8E">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64130789">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7A62032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报告内容生成</w:t>
            </w:r>
          </w:p>
        </w:tc>
        <w:tc>
          <w:tcPr>
            <w:tcW w:w="1791" w:type="pct"/>
            <w:tcBorders>
              <w:tl2br w:val="nil"/>
              <w:tr2bl w:val="nil"/>
            </w:tcBorders>
            <w:vAlign w:val="center"/>
          </w:tcPr>
          <w:p w14:paraId="30B8D3A5">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支持通用报告模板的新增、编辑、删除等操作；支持定制按部门需求定制专属报告模板；支持根据用户需求自动关联后台经济指标数据生成报告内容。</w:t>
            </w:r>
          </w:p>
        </w:tc>
      </w:tr>
      <w:tr w14:paraId="12F72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61BAB7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17</w:t>
            </w:r>
          </w:p>
        </w:tc>
        <w:tc>
          <w:tcPr>
            <w:tcW w:w="889" w:type="pct"/>
            <w:vMerge w:val="continue"/>
            <w:tcBorders>
              <w:tl2br w:val="nil"/>
              <w:tr2bl w:val="nil"/>
            </w:tcBorders>
            <w:noWrap/>
            <w:vAlign w:val="center"/>
          </w:tcPr>
          <w:p w14:paraId="47287BF1">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6CD600A0">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648A873C">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报告格式与输出</w:t>
            </w:r>
          </w:p>
        </w:tc>
        <w:tc>
          <w:tcPr>
            <w:tcW w:w="1791" w:type="pct"/>
            <w:tcBorders>
              <w:tl2br w:val="nil"/>
              <w:tr2bl w:val="nil"/>
            </w:tcBorders>
            <w:vAlign w:val="center"/>
          </w:tcPr>
          <w:p w14:paraId="49763458">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提供报告导出功能，支持PDF或PPT格式；同时存储历次导出的报告文件。</w:t>
            </w:r>
          </w:p>
        </w:tc>
      </w:tr>
      <w:tr w14:paraId="0BBBF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6A73AAE4">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18</w:t>
            </w:r>
          </w:p>
        </w:tc>
        <w:tc>
          <w:tcPr>
            <w:tcW w:w="889" w:type="pct"/>
            <w:vMerge w:val="continue"/>
            <w:tcBorders>
              <w:tl2br w:val="nil"/>
              <w:tr2bl w:val="nil"/>
            </w:tcBorders>
            <w:noWrap/>
            <w:vAlign w:val="center"/>
          </w:tcPr>
          <w:p w14:paraId="36A7FC4A">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restart"/>
            <w:tcBorders>
              <w:tl2br w:val="nil"/>
              <w:tr2bl w:val="nil"/>
            </w:tcBorders>
            <w:vAlign w:val="center"/>
          </w:tcPr>
          <w:p w14:paraId="48570331">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区域企业画像</w:t>
            </w:r>
          </w:p>
        </w:tc>
        <w:tc>
          <w:tcPr>
            <w:tcW w:w="840" w:type="pct"/>
            <w:tcBorders>
              <w:tl2br w:val="nil"/>
              <w:tr2bl w:val="nil"/>
            </w:tcBorders>
            <w:vAlign w:val="center"/>
          </w:tcPr>
          <w:p w14:paraId="79795E2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企业分类专题统计</w:t>
            </w:r>
          </w:p>
        </w:tc>
        <w:tc>
          <w:tcPr>
            <w:tcW w:w="1791" w:type="pct"/>
            <w:tcBorders>
              <w:tl2br w:val="nil"/>
              <w:tr2bl w:val="nil"/>
            </w:tcBorders>
            <w:vAlign w:val="center"/>
          </w:tcPr>
          <w:p w14:paraId="75297613">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针对规上企业、百强企业、百佳企业、专精特新企业等多类企业分别进行统计分析，以可视化图表形式展示各类企业最新上榜总数。</w:t>
            </w:r>
          </w:p>
        </w:tc>
      </w:tr>
      <w:tr w14:paraId="164C4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6C761981">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19</w:t>
            </w:r>
          </w:p>
        </w:tc>
        <w:tc>
          <w:tcPr>
            <w:tcW w:w="889" w:type="pct"/>
            <w:vMerge w:val="continue"/>
            <w:tcBorders>
              <w:tl2br w:val="nil"/>
              <w:tr2bl w:val="nil"/>
            </w:tcBorders>
            <w:noWrap/>
            <w:vAlign w:val="center"/>
          </w:tcPr>
          <w:p w14:paraId="72860793">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440421C6">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6AFB47E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企业规模趋势统计</w:t>
            </w:r>
          </w:p>
        </w:tc>
        <w:tc>
          <w:tcPr>
            <w:tcW w:w="1791" w:type="pct"/>
            <w:tcBorders>
              <w:tl2br w:val="nil"/>
              <w:tr2bl w:val="nil"/>
            </w:tcBorders>
            <w:vAlign w:val="center"/>
          </w:tcPr>
          <w:p w14:paraId="32AB531F">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按微型、小型等预设标准划分并支持统计各月份企业总数、营收总额等核心指标；以可视化图表方式呈现不同规模企业月度数量波动及发展趋势。</w:t>
            </w:r>
          </w:p>
        </w:tc>
      </w:tr>
      <w:tr w14:paraId="0A12B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24F8F5F">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20</w:t>
            </w:r>
          </w:p>
        </w:tc>
        <w:tc>
          <w:tcPr>
            <w:tcW w:w="889" w:type="pct"/>
            <w:vMerge w:val="continue"/>
            <w:tcBorders>
              <w:tl2br w:val="nil"/>
              <w:tr2bl w:val="nil"/>
            </w:tcBorders>
            <w:noWrap/>
            <w:vAlign w:val="center"/>
          </w:tcPr>
          <w:p w14:paraId="0721BB51">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6D0880F9">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7F33B78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江阴345产业企业统计</w:t>
            </w:r>
          </w:p>
        </w:tc>
        <w:tc>
          <w:tcPr>
            <w:tcW w:w="1791" w:type="pct"/>
            <w:tcBorders>
              <w:tl2br w:val="nil"/>
              <w:tr2bl w:val="nil"/>
            </w:tcBorders>
            <w:vAlign w:val="center"/>
          </w:tcPr>
          <w:p w14:paraId="56EA28DD">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全面统计全市345产业的企业及产业多维度数据；以可视化形式在页面呈现各产业企业规模与发展态势。</w:t>
            </w:r>
          </w:p>
        </w:tc>
      </w:tr>
      <w:tr w14:paraId="34738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4A2B942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21</w:t>
            </w:r>
          </w:p>
        </w:tc>
        <w:tc>
          <w:tcPr>
            <w:tcW w:w="889" w:type="pct"/>
            <w:vMerge w:val="continue"/>
            <w:tcBorders>
              <w:tl2br w:val="nil"/>
              <w:tr2bl w:val="nil"/>
            </w:tcBorders>
            <w:noWrap/>
            <w:vAlign w:val="center"/>
          </w:tcPr>
          <w:p w14:paraId="544359E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A86B1D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623816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企业经济趋势统计</w:t>
            </w:r>
          </w:p>
        </w:tc>
        <w:tc>
          <w:tcPr>
            <w:tcW w:w="1791" w:type="pct"/>
            <w:tcBorders>
              <w:tl2br w:val="nil"/>
              <w:tr2bl w:val="nil"/>
            </w:tcBorders>
            <w:vAlign w:val="center"/>
          </w:tcPr>
          <w:p w14:paraId="3F7B6BF7">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展示企业税收、产值、营收、开票四大核心经济维度近五年累计数据和增幅情况；以可视化形式呈现各维度年度情况。</w:t>
            </w:r>
          </w:p>
        </w:tc>
      </w:tr>
      <w:tr w14:paraId="4E50C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63EA3D8B">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22</w:t>
            </w:r>
          </w:p>
        </w:tc>
        <w:tc>
          <w:tcPr>
            <w:tcW w:w="889" w:type="pct"/>
            <w:vMerge w:val="continue"/>
            <w:tcBorders>
              <w:tl2br w:val="nil"/>
              <w:tr2bl w:val="nil"/>
            </w:tcBorders>
            <w:noWrap/>
            <w:vAlign w:val="center"/>
          </w:tcPr>
          <w:p w14:paraId="78573CF9">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059A18E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177E43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注册资本统计</w:t>
            </w:r>
          </w:p>
        </w:tc>
        <w:tc>
          <w:tcPr>
            <w:tcW w:w="1791" w:type="pct"/>
            <w:tcBorders>
              <w:tl2br w:val="nil"/>
              <w:tr2bl w:val="nil"/>
            </w:tcBorders>
            <w:vAlign w:val="center"/>
          </w:tcPr>
          <w:p w14:paraId="3A897A4D">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通过可视化形式呈现各注册资本范围的企业数量及占比。</w:t>
            </w:r>
          </w:p>
        </w:tc>
      </w:tr>
      <w:tr w14:paraId="418B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7133DF74">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23</w:t>
            </w:r>
          </w:p>
        </w:tc>
        <w:tc>
          <w:tcPr>
            <w:tcW w:w="889" w:type="pct"/>
            <w:vMerge w:val="continue"/>
            <w:tcBorders>
              <w:tl2br w:val="nil"/>
              <w:tr2bl w:val="nil"/>
            </w:tcBorders>
            <w:noWrap/>
            <w:vAlign w:val="center"/>
          </w:tcPr>
          <w:p w14:paraId="780F4FC5">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45E949B0">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439EB50">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奖补资金总量趋势统计</w:t>
            </w:r>
          </w:p>
        </w:tc>
        <w:tc>
          <w:tcPr>
            <w:tcW w:w="1791" w:type="pct"/>
            <w:tcBorders>
              <w:tl2br w:val="nil"/>
              <w:tr2bl w:val="nil"/>
            </w:tcBorders>
            <w:vAlign w:val="center"/>
          </w:tcPr>
          <w:p w14:paraId="52AE0387">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可视化展示全市奖补资金变化；支持按板块展示。</w:t>
            </w:r>
          </w:p>
        </w:tc>
      </w:tr>
      <w:tr w14:paraId="51FC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78C9312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24</w:t>
            </w:r>
          </w:p>
        </w:tc>
        <w:tc>
          <w:tcPr>
            <w:tcW w:w="889" w:type="pct"/>
            <w:vMerge w:val="continue"/>
            <w:tcBorders>
              <w:tl2br w:val="nil"/>
              <w:tr2bl w:val="nil"/>
            </w:tcBorders>
            <w:noWrap/>
            <w:vAlign w:val="center"/>
          </w:tcPr>
          <w:p w14:paraId="22C38EAC">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restart"/>
            <w:tcBorders>
              <w:tl2br w:val="nil"/>
              <w:tr2bl w:val="nil"/>
            </w:tcBorders>
            <w:vAlign w:val="center"/>
          </w:tcPr>
          <w:p w14:paraId="3CA82AFB">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区域画像</w:t>
            </w:r>
          </w:p>
        </w:tc>
        <w:tc>
          <w:tcPr>
            <w:tcW w:w="840" w:type="pct"/>
            <w:tcBorders>
              <w:tl2br w:val="nil"/>
              <w:tr2bl w:val="nil"/>
            </w:tcBorders>
            <w:vAlign w:val="center"/>
          </w:tcPr>
          <w:p w14:paraId="44BBBD7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市级经济总体概况</w:t>
            </w:r>
          </w:p>
        </w:tc>
        <w:tc>
          <w:tcPr>
            <w:tcW w:w="1791" w:type="pct"/>
            <w:tcBorders>
              <w:tl2br w:val="nil"/>
              <w:tr2bl w:val="nil"/>
            </w:tcBorders>
            <w:vAlign w:val="center"/>
          </w:tcPr>
          <w:p w14:paraId="59ECB882">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从全市宏观层面分析数据，如GDP数据、人均可支配收入等，支持可视化展示。</w:t>
            </w:r>
          </w:p>
        </w:tc>
      </w:tr>
      <w:tr w14:paraId="6FFC3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D0FBC80">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25</w:t>
            </w:r>
          </w:p>
        </w:tc>
        <w:tc>
          <w:tcPr>
            <w:tcW w:w="889" w:type="pct"/>
            <w:vMerge w:val="continue"/>
            <w:tcBorders>
              <w:tl2br w:val="nil"/>
              <w:tr2bl w:val="nil"/>
            </w:tcBorders>
            <w:noWrap/>
            <w:vAlign w:val="center"/>
          </w:tcPr>
          <w:p w14:paraId="3380EF02">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CFF5C3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4BD0104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市级产业竞争力分析</w:t>
            </w:r>
          </w:p>
        </w:tc>
        <w:tc>
          <w:tcPr>
            <w:tcW w:w="1791" w:type="pct"/>
            <w:tcBorders>
              <w:tl2br w:val="nil"/>
              <w:tr2bl w:val="nil"/>
            </w:tcBorders>
            <w:vAlign w:val="center"/>
          </w:tcPr>
          <w:p w14:paraId="55F7DC2C">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分别从产业规模实力、创新驱动能力、区域集聚水平、经济效益质量四大核心维度进行统计分析展示，实现产业四维打分，实现竞争力的评估与分级。</w:t>
            </w:r>
          </w:p>
        </w:tc>
      </w:tr>
      <w:tr w14:paraId="7122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598A81E1">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26</w:t>
            </w:r>
          </w:p>
        </w:tc>
        <w:tc>
          <w:tcPr>
            <w:tcW w:w="889" w:type="pct"/>
            <w:vMerge w:val="continue"/>
            <w:tcBorders>
              <w:tl2br w:val="nil"/>
              <w:tr2bl w:val="nil"/>
            </w:tcBorders>
            <w:noWrap/>
            <w:vAlign w:val="center"/>
          </w:tcPr>
          <w:p w14:paraId="582AF12E">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5A93AA63">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356C526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市级经济动能结构分析</w:t>
            </w:r>
          </w:p>
        </w:tc>
        <w:tc>
          <w:tcPr>
            <w:tcW w:w="1791" w:type="pct"/>
            <w:tcBorders>
              <w:tl2br w:val="nil"/>
              <w:tr2bl w:val="nil"/>
            </w:tcBorders>
            <w:vAlign w:val="center"/>
          </w:tcPr>
          <w:p w14:paraId="1915709C">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分别从消费、投资、出口及新兴产业、传统产业对经济增长的贡献度进行分析展示，通过可视化呈现。</w:t>
            </w:r>
          </w:p>
        </w:tc>
      </w:tr>
      <w:tr w14:paraId="6D42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796C617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27</w:t>
            </w:r>
          </w:p>
        </w:tc>
        <w:tc>
          <w:tcPr>
            <w:tcW w:w="889" w:type="pct"/>
            <w:vMerge w:val="continue"/>
            <w:tcBorders>
              <w:tl2br w:val="nil"/>
              <w:tr2bl w:val="nil"/>
            </w:tcBorders>
            <w:noWrap/>
            <w:vAlign w:val="center"/>
          </w:tcPr>
          <w:p w14:paraId="575E5E2F">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04FCB89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E192680">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市级社会民生与可持续发展分析</w:t>
            </w:r>
          </w:p>
        </w:tc>
        <w:tc>
          <w:tcPr>
            <w:tcW w:w="1791" w:type="pct"/>
            <w:tcBorders>
              <w:tl2br w:val="nil"/>
              <w:tr2bl w:val="nil"/>
            </w:tcBorders>
            <w:vAlign w:val="center"/>
          </w:tcPr>
          <w:p w14:paraId="3EF2DB5D">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可视化展示全市学校、医疗机构数据，就失业人数，能耗环保数据，展示板块情况或趋势，提供数据支撑。</w:t>
            </w:r>
          </w:p>
        </w:tc>
      </w:tr>
      <w:tr w14:paraId="64D9B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0128F34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28</w:t>
            </w:r>
          </w:p>
        </w:tc>
        <w:tc>
          <w:tcPr>
            <w:tcW w:w="889" w:type="pct"/>
            <w:vMerge w:val="continue"/>
            <w:tcBorders>
              <w:tl2br w:val="nil"/>
              <w:tr2bl w:val="nil"/>
            </w:tcBorders>
            <w:noWrap/>
            <w:vAlign w:val="center"/>
          </w:tcPr>
          <w:p w14:paraId="1439E67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77A9DCAE">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6C388C0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市级创新驱动分析</w:t>
            </w:r>
          </w:p>
        </w:tc>
        <w:tc>
          <w:tcPr>
            <w:tcW w:w="1791" w:type="pct"/>
            <w:tcBorders>
              <w:tl2br w:val="nil"/>
              <w:tr2bl w:val="nil"/>
            </w:tcBorders>
            <w:vAlign w:val="center"/>
          </w:tcPr>
          <w:p w14:paraId="2A0D041D">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统计分析全市研发投入、专利等创新产出数据，各类创新主体数据，可视化呈现增长趋势、规模及变化，分布情况，提供数据支撑。</w:t>
            </w:r>
          </w:p>
        </w:tc>
      </w:tr>
      <w:tr w14:paraId="0FF03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58D5F45A">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29</w:t>
            </w:r>
          </w:p>
        </w:tc>
        <w:tc>
          <w:tcPr>
            <w:tcW w:w="889" w:type="pct"/>
            <w:vMerge w:val="continue"/>
            <w:tcBorders>
              <w:tl2br w:val="nil"/>
              <w:tr2bl w:val="nil"/>
            </w:tcBorders>
            <w:noWrap/>
            <w:vAlign w:val="center"/>
          </w:tcPr>
          <w:p w14:paraId="1049E5D9">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7AB8195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4544892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镇街园区经济总量与增长分析</w:t>
            </w:r>
          </w:p>
        </w:tc>
        <w:tc>
          <w:tcPr>
            <w:tcW w:w="1791" w:type="pct"/>
            <w:tcBorders>
              <w:tl2br w:val="nil"/>
              <w:tr2bl w:val="nil"/>
            </w:tcBorders>
            <w:vAlign w:val="center"/>
          </w:tcPr>
          <w:p w14:paraId="4D24F74E">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统计分析全市各板块GDP、工业总产值、批零住餐销售数据，可视化呈现规模和趋势；展示各板块三类经济指标。</w:t>
            </w:r>
          </w:p>
        </w:tc>
      </w:tr>
      <w:tr w14:paraId="67268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649AC30A">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30</w:t>
            </w:r>
          </w:p>
        </w:tc>
        <w:tc>
          <w:tcPr>
            <w:tcW w:w="889" w:type="pct"/>
            <w:vMerge w:val="continue"/>
            <w:tcBorders>
              <w:tl2br w:val="nil"/>
              <w:tr2bl w:val="nil"/>
            </w:tcBorders>
            <w:noWrap/>
            <w:vAlign w:val="center"/>
          </w:tcPr>
          <w:p w14:paraId="1FED640F">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4DC9C59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7A497384">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镇街园区产业发展和数字经济分析</w:t>
            </w:r>
          </w:p>
        </w:tc>
        <w:tc>
          <w:tcPr>
            <w:tcW w:w="1791" w:type="pct"/>
            <w:tcBorders>
              <w:tl2br w:val="nil"/>
              <w:tr2bl w:val="nil"/>
            </w:tcBorders>
            <w:vAlign w:val="center"/>
          </w:tcPr>
          <w:p w14:paraId="408CED0A">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可视化方式统计分析各镇街园区的产业分布情况和发展趋势；提供各镇街园区的数字经济相关企业数据分析展示。</w:t>
            </w:r>
          </w:p>
        </w:tc>
      </w:tr>
      <w:tr w14:paraId="27DD3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01DD3A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31</w:t>
            </w:r>
          </w:p>
        </w:tc>
        <w:tc>
          <w:tcPr>
            <w:tcW w:w="889" w:type="pct"/>
            <w:vMerge w:val="continue"/>
            <w:tcBorders>
              <w:tl2br w:val="nil"/>
              <w:tr2bl w:val="nil"/>
            </w:tcBorders>
            <w:noWrap/>
            <w:vAlign w:val="center"/>
          </w:tcPr>
          <w:p w14:paraId="7EBC708C">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03EF07D">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B7FB94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镇街园区投资与项目建设分析</w:t>
            </w:r>
          </w:p>
        </w:tc>
        <w:tc>
          <w:tcPr>
            <w:tcW w:w="1791" w:type="pct"/>
            <w:tcBorders>
              <w:tl2br w:val="nil"/>
              <w:tr2bl w:val="nil"/>
            </w:tcBorders>
            <w:vAlign w:val="center"/>
          </w:tcPr>
          <w:p w14:paraId="5A93C2EB">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可视化方式呈现各镇街园区的固定资产投资规模、项目数量；支持对各镇街园区的项目进行汇总分析展示，分别展示所有项目的建设进度情况和项目类型。</w:t>
            </w:r>
          </w:p>
        </w:tc>
      </w:tr>
      <w:tr w14:paraId="3208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4F3B44D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32</w:t>
            </w:r>
          </w:p>
        </w:tc>
        <w:tc>
          <w:tcPr>
            <w:tcW w:w="889" w:type="pct"/>
            <w:vMerge w:val="continue"/>
            <w:tcBorders>
              <w:tl2br w:val="nil"/>
              <w:tr2bl w:val="nil"/>
            </w:tcBorders>
            <w:noWrap/>
            <w:vAlign w:val="center"/>
          </w:tcPr>
          <w:p w14:paraId="76B8A91A">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4F88152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191D6CC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镇街园区财政与税收分析</w:t>
            </w:r>
          </w:p>
        </w:tc>
        <w:tc>
          <w:tcPr>
            <w:tcW w:w="1791" w:type="pct"/>
            <w:tcBorders>
              <w:tl2br w:val="nil"/>
              <w:tr2bl w:val="nil"/>
            </w:tcBorders>
            <w:vAlign w:val="center"/>
          </w:tcPr>
          <w:p w14:paraId="1342463C">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可视化方式展示各镇街园区的财政收入情况、税收结构占比情况、财政收支变化情况、重点行业税收贡献情况。</w:t>
            </w:r>
          </w:p>
        </w:tc>
      </w:tr>
      <w:tr w14:paraId="30CCE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701776C">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33</w:t>
            </w:r>
          </w:p>
        </w:tc>
        <w:tc>
          <w:tcPr>
            <w:tcW w:w="889" w:type="pct"/>
            <w:vMerge w:val="continue"/>
            <w:tcBorders>
              <w:tl2br w:val="nil"/>
              <w:tr2bl w:val="nil"/>
            </w:tcBorders>
            <w:noWrap/>
            <w:vAlign w:val="center"/>
          </w:tcPr>
          <w:p w14:paraId="016F89EB">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5514829">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398FC51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镇街园区社会民生数据</w:t>
            </w:r>
          </w:p>
        </w:tc>
        <w:tc>
          <w:tcPr>
            <w:tcW w:w="1791" w:type="pct"/>
            <w:tcBorders>
              <w:tl2br w:val="nil"/>
              <w:tr2bl w:val="nil"/>
            </w:tcBorders>
            <w:vAlign w:val="center"/>
          </w:tcPr>
          <w:p w14:paraId="26479697">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可视化方式统计分析各镇街园区对应的教育机构、医疗机构、公共服务场所数量和各细分项占比及分布情况；展示各镇街园区的就业及社保指标相关数据的趋势变化。</w:t>
            </w:r>
          </w:p>
        </w:tc>
      </w:tr>
      <w:tr w14:paraId="61815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E1C89A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34</w:t>
            </w:r>
          </w:p>
        </w:tc>
        <w:tc>
          <w:tcPr>
            <w:tcW w:w="889" w:type="pct"/>
            <w:vMerge w:val="continue"/>
            <w:tcBorders>
              <w:tl2br w:val="nil"/>
              <w:tr2bl w:val="nil"/>
            </w:tcBorders>
            <w:noWrap/>
            <w:vAlign w:val="center"/>
          </w:tcPr>
          <w:p w14:paraId="303EC5CB">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4C8FC99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71410E0E">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镇街园区基础设施与环境分析</w:t>
            </w:r>
          </w:p>
        </w:tc>
        <w:tc>
          <w:tcPr>
            <w:tcW w:w="1791" w:type="pct"/>
            <w:tcBorders>
              <w:tl2br w:val="nil"/>
              <w:tr2bl w:val="nil"/>
            </w:tcBorders>
            <w:vAlign w:val="center"/>
          </w:tcPr>
          <w:p w14:paraId="66F6406C">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分别从交通设施、能源设施、环保设施、文体设施等设施类型统计分析，以可视化图表方式展示各镇街园区对应设施的类型、数量和分布情况。</w:t>
            </w:r>
          </w:p>
        </w:tc>
      </w:tr>
      <w:tr w14:paraId="7F2CA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DEA5659">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35</w:t>
            </w:r>
          </w:p>
        </w:tc>
        <w:tc>
          <w:tcPr>
            <w:tcW w:w="889" w:type="pct"/>
            <w:vMerge w:val="continue"/>
            <w:tcBorders>
              <w:tl2br w:val="nil"/>
              <w:tr2bl w:val="nil"/>
            </w:tcBorders>
            <w:noWrap/>
            <w:vAlign w:val="center"/>
          </w:tcPr>
          <w:p w14:paraId="2D3FD37D">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19ECC4A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358B843C">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多维度数据分析与对比</w:t>
            </w:r>
          </w:p>
        </w:tc>
        <w:tc>
          <w:tcPr>
            <w:tcW w:w="1791" w:type="pct"/>
            <w:tcBorders>
              <w:tl2br w:val="nil"/>
              <w:tr2bl w:val="nil"/>
            </w:tcBorders>
            <w:vAlign w:val="center"/>
          </w:tcPr>
          <w:p w14:paraId="3344EDBD">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提供上述各项经济指标维度的自定义组合分析，由此汇总展示全市整体经济发展形势；提供镇街园区横向对比情况，用户可以自定义选择对比区域和对比指标，进行多维度横向综合分析，查看各区域间的优势与短板。</w:t>
            </w:r>
          </w:p>
        </w:tc>
      </w:tr>
      <w:tr w14:paraId="2EC18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48AC83B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36</w:t>
            </w:r>
          </w:p>
        </w:tc>
        <w:tc>
          <w:tcPr>
            <w:tcW w:w="889" w:type="pct"/>
            <w:vMerge w:val="continue"/>
            <w:tcBorders>
              <w:tl2br w:val="nil"/>
              <w:tr2bl w:val="nil"/>
            </w:tcBorders>
            <w:noWrap/>
            <w:vAlign w:val="center"/>
          </w:tcPr>
          <w:p w14:paraId="428683B4">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restart"/>
            <w:tcBorders>
              <w:tl2br w:val="nil"/>
              <w:tr2bl w:val="nil"/>
            </w:tcBorders>
            <w:vAlign w:val="center"/>
          </w:tcPr>
          <w:p w14:paraId="291558B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区域项目画像</w:t>
            </w:r>
          </w:p>
        </w:tc>
        <w:tc>
          <w:tcPr>
            <w:tcW w:w="840" w:type="pct"/>
            <w:tcBorders>
              <w:tl2br w:val="nil"/>
              <w:tr2bl w:val="nil"/>
            </w:tcBorders>
            <w:vAlign w:val="center"/>
          </w:tcPr>
          <w:p w14:paraId="770E36A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全市项目统计分析</w:t>
            </w:r>
          </w:p>
        </w:tc>
        <w:tc>
          <w:tcPr>
            <w:tcW w:w="1791" w:type="pct"/>
            <w:tcBorders>
              <w:tl2br w:val="nil"/>
              <w:tr2bl w:val="nil"/>
            </w:tcBorders>
            <w:vAlign w:val="center"/>
          </w:tcPr>
          <w:p w14:paraId="7BC01BF3">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对接项目全生命周期管理平台，汇聚全市项目数据，提供全市项目数据的多维度分类统计展示。</w:t>
            </w:r>
          </w:p>
        </w:tc>
      </w:tr>
      <w:tr w14:paraId="38C06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3C09623C">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37</w:t>
            </w:r>
          </w:p>
        </w:tc>
        <w:tc>
          <w:tcPr>
            <w:tcW w:w="889" w:type="pct"/>
            <w:vMerge w:val="continue"/>
            <w:tcBorders>
              <w:tl2br w:val="nil"/>
              <w:tr2bl w:val="nil"/>
            </w:tcBorders>
            <w:noWrap/>
            <w:vAlign w:val="center"/>
          </w:tcPr>
          <w:p w14:paraId="1A175347">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E67F120">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58FDF9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全市项目建设发展情况分析</w:t>
            </w:r>
          </w:p>
        </w:tc>
        <w:tc>
          <w:tcPr>
            <w:tcW w:w="1791" w:type="pct"/>
            <w:tcBorders>
              <w:tl2br w:val="nil"/>
              <w:tr2bl w:val="nil"/>
            </w:tcBorders>
            <w:vAlign w:val="center"/>
          </w:tcPr>
          <w:p w14:paraId="2F02C42E">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通过平台对接，汇聚全市项目数据，以可视化方式分析展示项目建设阶段平均用时情况、五率情况汇总、项目用地分布情况、项目所属产业分布情况、总投资金额汇总情况等。</w:t>
            </w:r>
          </w:p>
        </w:tc>
      </w:tr>
      <w:tr w14:paraId="3EC5D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4092C26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38</w:t>
            </w:r>
          </w:p>
        </w:tc>
        <w:tc>
          <w:tcPr>
            <w:tcW w:w="889" w:type="pct"/>
            <w:vMerge w:val="continue"/>
            <w:tcBorders>
              <w:tl2br w:val="nil"/>
              <w:tr2bl w:val="nil"/>
            </w:tcBorders>
            <w:noWrap/>
            <w:vAlign w:val="center"/>
          </w:tcPr>
          <w:p w14:paraId="77859ECB">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40F44CB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6D62AE7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全市项目预警统计分析</w:t>
            </w:r>
          </w:p>
        </w:tc>
        <w:tc>
          <w:tcPr>
            <w:tcW w:w="1791" w:type="pct"/>
            <w:tcBorders>
              <w:tl2br w:val="nil"/>
              <w:tr2bl w:val="nil"/>
            </w:tcBorders>
            <w:vAlign w:val="center"/>
          </w:tcPr>
          <w:p w14:paraId="252CA46F">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通过平台对接，统计分析其项目预警数据，通过可视化图表方式对全市多项预警指标数据进行分析展示。</w:t>
            </w:r>
          </w:p>
        </w:tc>
      </w:tr>
      <w:tr w14:paraId="13524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41104B7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39</w:t>
            </w:r>
          </w:p>
        </w:tc>
        <w:tc>
          <w:tcPr>
            <w:tcW w:w="889" w:type="pct"/>
            <w:vMerge w:val="continue"/>
            <w:tcBorders>
              <w:tl2br w:val="nil"/>
              <w:tr2bl w:val="nil"/>
            </w:tcBorders>
            <w:noWrap/>
            <w:vAlign w:val="center"/>
          </w:tcPr>
          <w:p w14:paraId="2B2F001B">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17F2FB10">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72A0B3D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重大项目宏观统计分析</w:t>
            </w:r>
          </w:p>
        </w:tc>
        <w:tc>
          <w:tcPr>
            <w:tcW w:w="1791" w:type="pct"/>
            <w:tcBorders>
              <w:tl2br w:val="nil"/>
              <w:tr2bl w:val="nil"/>
            </w:tcBorders>
            <w:vAlign w:val="center"/>
          </w:tcPr>
          <w:p w14:paraId="63ED0CB0">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可视化方式展示重大项目宏观统计分析数据，对全市重点项目数据分类统计，以可视化图表呈现各类项目分布情况；展示计划投资额、实际投资额、用地总面积等核心指标分析数据。</w:t>
            </w:r>
          </w:p>
        </w:tc>
      </w:tr>
      <w:tr w14:paraId="1AFF1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71AF232">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40</w:t>
            </w:r>
          </w:p>
        </w:tc>
        <w:tc>
          <w:tcPr>
            <w:tcW w:w="889" w:type="pct"/>
            <w:vMerge w:val="continue"/>
            <w:tcBorders>
              <w:tl2br w:val="nil"/>
              <w:tr2bl w:val="nil"/>
            </w:tcBorders>
            <w:noWrap/>
            <w:vAlign w:val="center"/>
          </w:tcPr>
          <w:p w14:paraId="031903B5">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6FB8A2D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D9530AE">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重大项目进度跟踪</w:t>
            </w:r>
          </w:p>
        </w:tc>
        <w:tc>
          <w:tcPr>
            <w:tcW w:w="1791" w:type="pct"/>
            <w:tcBorders>
              <w:tl2br w:val="nil"/>
              <w:tr2bl w:val="nil"/>
            </w:tcBorders>
            <w:vAlign w:val="center"/>
          </w:tcPr>
          <w:p w14:paraId="07812EF7">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对全市重大项目进度数据进行统计分析，可视化呈现项目在各审批阶段的分布情况；支持以列表形式简要展示基本信息，并可检索和导出。</w:t>
            </w:r>
          </w:p>
        </w:tc>
      </w:tr>
      <w:tr w14:paraId="409D1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A6E70E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41</w:t>
            </w:r>
          </w:p>
        </w:tc>
        <w:tc>
          <w:tcPr>
            <w:tcW w:w="889" w:type="pct"/>
            <w:vMerge w:val="continue"/>
            <w:tcBorders>
              <w:tl2br w:val="nil"/>
              <w:tr2bl w:val="nil"/>
            </w:tcBorders>
            <w:noWrap/>
            <w:vAlign w:val="center"/>
          </w:tcPr>
          <w:p w14:paraId="483657B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233A26D">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73761890">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重大项目投资情况分析</w:t>
            </w:r>
          </w:p>
        </w:tc>
        <w:tc>
          <w:tcPr>
            <w:tcW w:w="1791" w:type="pct"/>
            <w:tcBorders>
              <w:tl2br w:val="nil"/>
              <w:tr2bl w:val="nil"/>
            </w:tcBorders>
            <w:vAlign w:val="center"/>
          </w:tcPr>
          <w:p w14:paraId="4A0E148B">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提供全市重大项目投资统计分析功能，覆盖投资计划执行、进度推进、完成质量情况等多维度数据分析。</w:t>
            </w:r>
          </w:p>
        </w:tc>
      </w:tr>
      <w:tr w14:paraId="6BB9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3649ED93">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42</w:t>
            </w:r>
          </w:p>
        </w:tc>
        <w:tc>
          <w:tcPr>
            <w:tcW w:w="889" w:type="pct"/>
            <w:vMerge w:val="continue"/>
            <w:tcBorders>
              <w:tl2br w:val="nil"/>
              <w:tr2bl w:val="nil"/>
            </w:tcBorders>
            <w:noWrap/>
            <w:vAlign w:val="center"/>
          </w:tcPr>
          <w:p w14:paraId="39695802">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4EFBF8D">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6E4225E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重大项目效益分析</w:t>
            </w:r>
          </w:p>
        </w:tc>
        <w:tc>
          <w:tcPr>
            <w:tcW w:w="1791" w:type="pct"/>
            <w:tcBorders>
              <w:tl2br w:val="nil"/>
              <w:tr2bl w:val="nil"/>
            </w:tcBorders>
            <w:vAlign w:val="center"/>
          </w:tcPr>
          <w:p w14:paraId="5A45B43D">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提供全市重大项目效益分析功能与可视化页面展示功能，从全市层面分别对达产重大项目的收益、就业创造及环境影响三个方面进行统计分析。</w:t>
            </w:r>
          </w:p>
        </w:tc>
      </w:tr>
      <w:tr w14:paraId="720DD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55EB0F46">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43</w:t>
            </w:r>
          </w:p>
        </w:tc>
        <w:tc>
          <w:tcPr>
            <w:tcW w:w="889" w:type="pct"/>
            <w:vMerge w:val="continue"/>
            <w:tcBorders>
              <w:tl2br w:val="nil"/>
              <w:tr2bl w:val="nil"/>
            </w:tcBorders>
            <w:noWrap/>
            <w:vAlign w:val="center"/>
          </w:tcPr>
          <w:p w14:paraId="063938E4">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55960691">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4A6FCCB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重大项目存在问题与风险分析</w:t>
            </w:r>
          </w:p>
        </w:tc>
        <w:tc>
          <w:tcPr>
            <w:tcW w:w="1791" w:type="pct"/>
            <w:tcBorders>
              <w:tl2br w:val="nil"/>
              <w:tr2bl w:val="nil"/>
            </w:tcBorders>
            <w:vAlign w:val="center"/>
          </w:tcPr>
          <w:p w14:paraId="2F430358">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对接项目问题库，按照问题对应的风险类型统计分析，展示各风险类型的问题数量分布情况；按照问题对应的风险类型统计分析，展示各板块各类风险类型项目数量的分布情况。</w:t>
            </w:r>
          </w:p>
        </w:tc>
      </w:tr>
      <w:tr w14:paraId="5C997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3F034E9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44</w:t>
            </w:r>
          </w:p>
        </w:tc>
        <w:tc>
          <w:tcPr>
            <w:tcW w:w="889" w:type="pct"/>
            <w:vMerge w:val="continue"/>
            <w:tcBorders>
              <w:tl2br w:val="nil"/>
              <w:tr2bl w:val="nil"/>
            </w:tcBorders>
            <w:noWrap/>
            <w:vAlign w:val="center"/>
          </w:tcPr>
          <w:p w14:paraId="598A01AC">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550F47B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607A202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重大项目预警提示</w:t>
            </w:r>
          </w:p>
        </w:tc>
        <w:tc>
          <w:tcPr>
            <w:tcW w:w="1791" w:type="pct"/>
            <w:tcBorders>
              <w:tl2br w:val="nil"/>
              <w:tr2bl w:val="nil"/>
            </w:tcBorders>
            <w:vAlign w:val="center"/>
          </w:tcPr>
          <w:p w14:paraId="68EB1743">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通过</w:t>
            </w:r>
            <w:r>
              <w:rPr>
                <w:rFonts w:hint="eastAsia" w:ascii="宋体" w:hAnsi="宋体" w:eastAsia="宋体" w:cs="宋体"/>
                <w:color w:val="000000"/>
                <w:sz w:val="21"/>
                <w:szCs w:val="21"/>
                <w:lang w:val="en-US" w:eastAsia="zh-CN"/>
              </w:rPr>
              <w:t>平台</w:t>
            </w:r>
            <w:r>
              <w:rPr>
                <w:rFonts w:hint="eastAsia" w:ascii="宋体" w:hAnsi="宋体" w:cs="宋体"/>
                <w:color w:val="000000"/>
                <w:sz w:val="21"/>
                <w:szCs w:val="21"/>
                <w:lang w:val="en-US" w:eastAsia="zh-CN"/>
              </w:rPr>
              <w:t>对接</w:t>
            </w:r>
            <w:r>
              <w:rPr>
                <w:rFonts w:hint="eastAsia" w:ascii="宋体" w:hAnsi="宋体" w:eastAsia="宋体" w:cs="宋体"/>
                <w:color w:val="000000"/>
                <w:sz w:val="21"/>
                <w:szCs w:val="21"/>
                <w:lang w:val="en-US" w:eastAsia="zh-CN"/>
              </w:rPr>
              <w:t>，针对关键指标产生的预警情况进行统计展示；通过可视化图表方式展示各类预警指标的数量</w:t>
            </w:r>
            <w:r>
              <w:rPr>
                <w:rFonts w:hint="eastAsia" w:ascii="宋体" w:hAnsi="宋体" w:cs="宋体"/>
                <w:color w:val="000000"/>
                <w:sz w:val="21"/>
                <w:szCs w:val="21"/>
                <w:lang w:val="en-US" w:eastAsia="zh-CN"/>
              </w:rPr>
              <w:t>，以及</w:t>
            </w:r>
            <w:r>
              <w:rPr>
                <w:rFonts w:hint="eastAsia" w:ascii="宋体" w:hAnsi="宋体" w:eastAsia="宋体" w:cs="宋体"/>
                <w:color w:val="000000"/>
                <w:sz w:val="21"/>
                <w:szCs w:val="21"/>
                <w:lang w:val="en-US" w:eastAsia="zh-CN"/>
              </w:rPr>
              <w:t>对应的已处理和未处理数。</w:t>
            </w:r>
          </w:p>
        </w:tc>
      </w:tr>
      <w:tr w14:paraId="1A89A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75883C6A">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45</w:t>
            </w:r>
          </w:p>
        </w:tc>
        <w:tc>
          <w:tcPr>
            <w:tcW w:w="889" w:type="pct"/>
            <w:vMerge w:val="continue"/>
            <w:tcBorders>
              <w:tl2br w:val="nil"/>
              <w:tr2bl w:val="nil"/>
            </w:tcBorders>
            <w:noWrap/>
            <w:vAlign w:val="center"/>
          </w:tcPr>
          <w:p w14:paraId="2A757B32">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restart"/>
            <w:tcBorders>
              <w:tl2br w:val="nil"/>
              <w:tr2bl w:val="nil"/>
            </w:tcBorders>
            <w:vAlign w:val="center"/>
          </w:tcPr>
          <w:p w14:paraId="2AC49736">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区域产业画像</w:t>
            </w:r>
          </w:p>
        </w:tc>
        <w:tc>
          <w:tcPr>
            <w:tcW w:w="840" w:type="pct"/>
            <w:tcBorders>
              <w:tl2br w:val="nil"/>
              <w:tr2bl w:val="nil"/>
            </w:tcBorders>
            <w:vAlign w:val="center"/>
          </w:tcPr>
          <w:p w14:paraId="54426A08">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全市产业结构概览</w:t>
            </w:r>
          </w:p>
        </w:tc>
        <w:tc>
          <w:tcPr>
            <w:tcW w:w="1791" w:type="pct"/>
            <w:tcBorders>
              <w:tl2br w:val="nil"/>
              <w:tr2bl w:val="nil"/>
            </w:tcBorders>
            <w:vAlign w:val="center"/>
          </w:tcPr>
          <w:p w14:paraId="43145663">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统计</w:t>
            </w:r>
            <w:r>
              <w:rPr>
                <w:rFonts w:hint="eastAsia" w:ascii="宋体" w:hAnsi="宋体" w:cs="宋体"/>
                <w:color w:val="000000"/>
                <w:sz w:val="21"/>
                <w:szCs w:val="21"/>
                <w:lang w:val="en-US" w:eastAsia="zh-CN"/>
              </w:rPr>
              <w:t>展示江阴</w:t>
            </w:r>
            <w:r>
              <w:rPr>
                <w:rFonts w:hint="eastAsia" w:ascii="宋体" w:hAnsi="宋体" w:eastAsia="宋体" w:cs="宋体"/>
                <w:color w:val="000000"/>
                <w:sz w:val="21"/>
                <w:szCs w:val="21"/>
                <w:lang w:val="en-US" w:eastAsia="zh-CN"/>
              </w:rPr>
              <w:t>“345”产业及细分产业的企业数量，通过可视化图表方式展示</w:t>
            </w:r>
            <w:r>
              <w:rPr>
                <w:rFonts w:hint="eastAsia" w:ascii="宋体" w:hAnsi="宋体" w:cs="宋体"/>
                <w:color w:val="000000"/>
                <w:sz w:val="21"/>
                <w:szCs w:val="21"/>
                <w:lang w:val="en-US" w:eastAsia="zh-CN"/>
              </w:rPr>
              <w:t>江阴</w:t>
            </w:r>
            <w:r>
              <w:rPr>
                <w:rFonts w:hint="eastAsia" w:ascii="宋体" w:hAnsi="宋体" w:eastAsia="宋体" w:cs="宋体"/>
                <w:color w:val="000000"/>
                <w:sz w:val="21"/>
                <w:szCs w:val="21"/>
                <w:lang w:val="en-US" w:eastAsia="zh-CN"/>
              </w:rPr>
              <w:t>“345”产业企业总数、各产业数量及占比、细分产业企业数量占比。</w:t>
            </w:r>
          </w:p>
        </w:tc>
      </w:tr>
      <w:tr w14:paraId="5CF1A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39CFBF0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46</w:t>
            </w:r>
          </w:p>
        </w:tc>
        <w:tc>
          <w:tcPr>
            <w:tcW w:w="889" w:type="pct"/>
            <w:vMerge w:val="continue"/>
            <w:tcBorders>
              <w:tl2br w:val="nil"/>
              <w:tr2bl w:val="nil"/>
            </w:tcBorders>
            <w:noWrap/>
            <w:vAlign w:val="center"/>
          </w:tcPr>
          <w:p w14:paraId="27F42451">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77CD3498">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1E2AC988">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各板块产业结构分析</w:t>
            </w:r>
          </w:p>
        </w:tc>
        <w:tc>
          <w:tcPr>
            <w:tcW w:w="1791" w:type="pct"/>
            <w:tcBorders>
              <w:tl2br w:val="nil"/>
              <w:tr2bl w:val="nil"/>
            </w:tcBorders>
            <w:vAlign w:val="center"/>
          </w:tcPr>
          <w:p w14:paraId="2DE4E630">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提供“板块-行业-企业规模”的层级展示结构，展示不同板块产业结构分布</w:t>
            </w:r>
            <w:r>
              <w:rPr>
                <w:rFonts w:hint="eastAsia" w:ascii="宋体" w:hAnsi="宋体" w:cs="宋体"/>
                <w:color w:val="000000"/>
                <w:sz w:val="21"/>
                <w:szCs w:val="21"/>
                <w:lang w:val="en-US" w:eastAsia="zh-CN"/>
              </w:rPr>
              <w:t>情况</w:t>
            </w:r>
            <w:r>
              <w:rPr>
                <w:rFonts w:hint="eastAsia" w:ascii="宋体" w:hAnsi="宋体" w:eastAsia="宋体" w:cs="宋体"/>
                <w:color w:val="000000"/>
                <w:sz w:val="21"/>
                <w:szCs w:val="21"/>
                <w:lang w:val="en-US" w:eastAsia="zh-CN"/>
              </w:rPr>
              <w:t>和相应企业数量规模。</w:t>
            </w:r>
          </w:p>
        </w:tc>
      </w:tr>
      <w:tr w14:paraId="0DC8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E75FBE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47</w:t>
            </w:r>
          </w:p>
        </w:tc>
        <w:tc>
          <w:tcPr>
            <w:tcW w:w="889" w:type="pct"/>
            <w:vMerge w:val="continue"/>
            <w:tcBorders>
              <w:tl2br w:val="nil"/>
              <w:tr2bl w:val="nil"/>
            </w:tcBorders>
            <w:noWrap/>
            <w:vAlign w:val="center"/>
          </w:tcPr>
          <w:p w14:paraId="5DC5F3A2">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086A5E86">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6B1C4F50">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产业风险预警</w:t>
            </w:r>
          </w:p>
        </w:tc>
        <w:tc>
          <w:tcPr>
            <w:tcW w:w="1791" w:type="pct"/>
            <w:tcBorders>
              <w:tl2br w:val="nil"/>
              <w:tr2bl w:val="nil"/>
            </w:tcBorders>
            <w:vAlign w:val="center"/>
          </w:tcPr>
          <w:p w14:paraId="65FF84BB">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联动企业预警监测算法，对各产业企业数量动态监测，当产业对应企业数量变化幅度达到阈值时系统自动通过弹窗、消息通知推送预警。</w:t>
            </w:r>
          </w:p>
        </w:tc>
      </w:tr>
      <w:tr w14:paraId="63B6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0C77A94">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48</w:t>
            </w:r>
          </w:p>
        </w:tc>
        <w:tc>
          <w:tcPr>
            <w:tcW w:w="889" w:type="pct"/>
            <w:vMerge w:val="continue"/>
            <w:tcBorders>
              <w:tl2br w:val="nil"/>
              <w:tr2bl w:val="nil"/>
            </w:tcBorders>
            <w:noWrap/>
            <w:vAlign w:val="center"/>
          </w:tcPr>
          <w:p w14:paraId="00C260CF">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restart"/>
            <w:tcBorders>
              <w:tl2br w:val="nil"/>
              <w:tr2bl w:val="nil"/>
            </w:tcBorders>
            <w:vAlign w:val="center"/>
          </w:tcPr>
          <w:p w14:paraId="75F7C1E1">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招商学习库</w:t>
            </w:r>
          </w:p>
        </w:tc>
        <w:tc>
          <w:tcPr>
            <w:tcW w:w="840" w:type="pct"/>
            <w:tcBorders>
              <w:tl2br w:val="nil"/>
              <w:tr2bl w:val="nil"/>
            </w:tcBorders>
            <w:vAlign w:val="center"/>
          </w:tcPr>
          <w:p w14:paraId="0AB69A2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登录绑定小程序</w:t>
            </w:r>
          </w:p>
        </w:tc>
        <w:tc>
          <w:tcPr>
            <w:tcW w:w="1791" w:type="pct"/>
            <w:tcBorders>
              <w:tl2br w:val="nil"/>
              <w:tr2bl w:val="nil"/>
            </w:tcBorders>
            <w:vAlign w:val="center"/>
          </w:tcPr>
          <w:p w14:paraId="52A0F301">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微信授权，实现</w:t>
            </w:r>
            <w:r>
              <w:rPr>
                <w:rFonts w:hint="eastAsia" w:ascii="宋体" w:hAnsi="宋体" w:cs="宋体"/>
                <w:color w:val="000000"/>
                <w:sz w:val="21"/>
                <w:szCs w:val="21"/>
                <w:lang w:val="en-US" w:eastAsia="zh-CN"/>
              </w:rPr>
              <w:t>用户</w:t>
            </w:r>
            <w:r>
              <w:rPr>
                <w:rFonts w:hint="eastAsia" w:ascii="宋体" w:hAnsi="宋体" w:eastAsia="宋体" w:cs="宋体"/>
                <w:color w:val="000000"/>
                <w:sz w:val="21"/>
                <w:szCs w:val="21"/>
                <w:lang w:val="en-US" w:eastAsia="zh-CN"/>
              </w:rPr>
              <w:t>无缝绑定。</w:t>
            </w:r>
          </w:p>
        </w:tc>
      </w:tr>
      <w:tr w14:paraId="724AA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500F2DC9">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49</w:t>
            </w:r>
          </w:p>
        </w:tc>
        <w:tc>
          <w:tcPr>
            <w:tcW w:w="889" w:type="pct"/>
            <w:vMerge w:val="continue"/>
            <w:tcBorders>
              <w:tl2br w:val="nil"/>
              <w:tr2bl w:val="nil"/>
            </w:tcBorders>
            <w:noWrap/>
            <w:vAlign w:val="center"/>
          </w:tcPr>
          <w:p w14:paraId="591AE394">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6005D31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452546F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短信验证码</w:t>
            </w:r>
          </w:p>
        </w:tc>
        <w:tc>
          <w:tcPr>
            <w:tcW w:w="1791" w:type="pct"/>
            <w:tcBorders>
              <w:tl2br w:val="nil"/>
              <w:tr2bl w:val="nil"/>
            </w:tcBorders>
            <w:vAlign w:val="center"/>
          </w:tcPr>
          <w:p w14:paraId="0DCC0961">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对接短信平台，通过验证码实现验证和登录。</w:t>
            </w:r>
          </w:p>
        </w:tc>
      </w:tr>
      <w:tr w14:paraId="51A6D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00BCB55">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50</w:t>
            </w:r>
          </w:p>
        </w:tc>
        <w:tc>
          <w:tcPr>
            <w:tcW w:w="889" w:type="pct"/>
            <w:vMerge w:val="continue"/>
            <w:tcBorders>
              <w:tl2br w:val="nil"/>
              <w:tr2bl w:val="nil"/>
            </w:tcBorders>
            <w:noWrap/>
            <w:vAlign w:val="center"/>
          </w:tcPr>
          <w:p w14:paraId="2E21505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2760FFC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242014B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招商宣传</w:t>
            </w:r>
          </w:p>
        </w:tc>
        <w:tc>
          <w:tcPr>
            <w:tcW w:w="1791" w:type="pct"/>
            <w:tcBorders>
              <w:tl2br w:val="nil"/>
              <w:tr2bl w:val="nil"/>
            </w:tcBorders>
            <w:vAlign w:val="center"/>
          </w:tcPr>
          <w:p w14:paraId="48106500">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首页招商宣传模块，展示招商宣传素材；提供对应的招商素材维护管理功能。</w:t>
            </w:r>
          </w:p>
        </w:tc>
      </w:tr>
      <w:tr w14:paraId="4C00A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F9AC38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51</w:t>
            </w:r>
          </w:p>
        </w:tc>
        <w:tc>
          <w:tcPr>
            <w:tcW w:w="889" w:type="pct"/>
            <w:vMerge w:val="continue"/>
            <w:tcBorders>
              <w:tl2br w:val="nil"/>
              <w:tr2bl w:val="nil"/>
            </w:tcBorders>
            <w:noWrap/>
            <w:vAlign w:val="center"/>
          </w:tcPr>
          <w:p w14:paraId="70F41973">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0075A2A0">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142D992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好书分享</w:t>
            </w:r>
          </w:p>
        </w:tc>
        <w:tc>
          <w:tcPr>
            <w:tcW w:w="1791" w:type="pct"/>
            <w:tcBorders>
              <w:tl2br w:val="nil"/>
              <w:tr2bl w:val="nil"/>
            </w:tcBorders>
            <w:vAlign w:val="center"/>
          </w:tcPr>
          <w:p w14:paraId="15E773E0">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提供好书分享模块，支持分类展示推荐书籍信息，支持在线查看书籍完整内容。</w:t>
            </w:r>
          </w:p>
        </w:tc>
      </w:tr>
      <w:tr w14:paraId="046B6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4504B945">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52</w:t>
            </w:r>
          </w:p>
        </w:tc>
        <w:tc>
          <w:tcPr>
            <w:tcW w:w="889" w:type="pct"/>
            <w:vMerge w:val="continue"/>
            <w:tcBorders>
              <w:tl2br w:val="nil"/>
              <w:tr2bl w:val="nil"/>
            </w:tcBorders>
            <w:noWrap/>
            <w:vAlign w:val="center"/>
          </w:tcPr>
          <w:p w14:paraId="63D7A089">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4DB439A1">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7D0EFA5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最近上传</w:t>
            </w:r>
          </w:p>
        </w:tc>
        <w:tc>
          <w:tcPr>
            <w:tcW w:w="1791" w:type="pct"/>
            <w:tcBorders>
              <w:tl2br w:val="nil"/>
              <w:tr2bl w:val="nil"/>
            </w:tcBorders>
            <w:vAlign w:val="center"/>
          </w:tcPr>
          <w:p w14:paraId="05F3283C">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提供最近上传信息板块，展示最新上传考试资料；支持在线查看资料详情；支持资料下载和上传。</w:t>
            </w:r>
          </w:p>
        </w:tc>
      </w:tr>
      <w:tr w14:paraId="25F13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DE23335">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53</w:t>
            </w:r>
          </w:p>
        </w:tc>
        <w:tc>
          <w:tcPr>
            <w:tcW w:w="889" w:type="pct"/>
            <w:vMerge w:val="continue"/>
            <w:tcBorders>
              <w:tl2br w:val="nil"/>
              <w:tr2bl w:val="nil"/>
            </w:tcBorders>
            <w:noWrap/>
            <w:vAlign w:val="center"/>
          </w:tcPr>
          <w:p w14:paraId="29677CB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4888CE77">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14129A0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江阴市情</w:t>
            </w:r>
          </w:p>
        </w:tc>
        <w:tc>
          <w:tcPr>
            <w:tcW w:w="1791" w:type="pct"/>
            <w:tcBorders>
              <w:tl2br w:val="nil"/>
              <w:tr2bl w:val="nil"/>
            </w:tcBorders>
            <w:vAlign w:val="center"/>
          </w:tcPr>
          <w:p w14:paraId="45087192">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搭建江阴市情模块，通过多个维度进行市情展示；提供管理后台，支持对市情信息的增删改查。</w:t>
            </w:r>
          </w:p>
        </w:tc>
      </w:tr>
      <w:tr w14:paraId="62C2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50FB8F7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54</w:t>
            </w:r>
          </w:p>
        </w:tc>
        <w:tc>
          <w:tcPr>
            <w:tcW w:w="889" w:type="pct"/>
            <w:vMerge w:val="continue"/>
            <w:tcBorders>
              <w:tl2br w:val="nil"/>
              <w:tr2bl w:val="nil"/>
            </w:tcBorders>
            <w:noWrap/>
            <w:vAlign w:val="center"/>
          </w:tcPr>
          <w:p w14:paraId="65FA6497">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19F208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53E17CDF">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板块推荐</w:t>
            </w:r>
          </w:p>
        </w:tc>
        <w:tc>
          <w:tcPr>
            <w:tcW w:w="1791" w:type="pct"/>
            <w:tcBorders>
              <w:tl2br w:val="nil"/>
              <w:tr2bl w:val="nil"/>
            </w:tcBorders>
            <w:vAlign w:val="center"/>
          </w:tcPr>
          <w:p w14:paraId="13F7FC01">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搭建江阴各镇街板块推荐模块，支持通过切换方式查看全市各镇街园区的图文及视频信息；提供管理后台，支持对板块信息的增删改查。</w:t>
            </w:r>
          </w:p>
        </w:tc>
      </w:tr>
      <w:tr w14:paraId="145DD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2CC2E0A">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55</w:t>
            </w:r>
          </w:p>
        </w:tc>
        <w:tc>
          <w:tcPr>
            <w:tcW w:w="889" w:type="pct"/>
            <w:vMerge w:val="continue"/>
            <w:tcBorders>
              <w:tl2br w:val="nil"/>
              <w:tr2bl w:val="nil"/>
            </w:tcBorders>
            <w:noWrap/>
            <w:vAlign w:val="center"/>
          </w:tcPr>
          <w:p w14:paraId="4DF50181">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15B736CC">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5AFDFF7E">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产业推介</w:t>
            </w:r>
          </w:p>
        </w:tc>
        <w:tc>
          <w:tcPr>
            <w:tcW w:w="1791" w:type="pct"/>
            <w:tcBorders>
              <w:tl2br w:val="nil"/>
              <w:tr2bl w:val="nil"/>
            </w:tcBorders>
            <w:vAlign w:val="center"/>
          </w:tcPr>
          <w:p w14:paraId="2C902F1A">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搭建产业推介模块，展示江阴各产业特殊产品介绍；提供管理后台，支持对各产品信息的增删改查。</w:t>
            </w:r>
          </w:p>
        </w:tc>
      </w:tr>
      <w:tr w14:paraId="1BBBE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0C76A9C6">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56</w:t>
            </w:r>
          </w:p>
        </w:tc>
        <w:tc>
          <w:tcPr>
            <w:tcW w:w="889" w:type="pct"/>
            <w:vMerge w:val="continue"/>
            <w:tcBorders>
              <w:tl2br w:val="nil"/>
              <w:tr2bl w:val="nil"/>
            </w:tcBorders>
            <w:noWrap/>
            <w:vAlign w:val="center"/>
          </w:tcPr>
          <w:p w14:paraId="7C5C0F14">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29AB7B90">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5208B699">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素材分享</w:t>
            </w:r>
          </w:p>
        </w:tc>
        <w:tc>
          <w:tcPr>
            <w:tcW w:w="1791" w:type="pct"/>
            <w:tcBorders>
              <w:tl2br w:val="nil"/>
              <w:tr2bl w:val="nil"/>
            </w:tcBorders>
            <w:vAlign w:val="center"/>
          </w:tcPr>
          <w:p w14:paraId="48B50E33">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搭建素材分享模块，提供学产业懂产业、中金行业分享、素材收藏、素材下载</w:t>
            </w:r>
            <w:r>
              <w:rPr>
                <w:rFonts w:hint="eastAsia" w:ascii="宋体" w:hAnsi="宋体" w:cs="宋体"/>
                <w:color w:val="000000"/>
                <w:sz w:val="21"/>
                <w:szCs w:val="21"/>
                <w:lang w:val="en-US" w:eastAsia="zh-CN"/>
              </w:rPr>
              <w:t>等</w:t>
            </w:r>
            <w:r>
              <w:rPr>
                <w:rFonts w:hint="eastAsia" w:ascii="宋体" w:hAnsi="宋体" w:eastAsia="宋体" w:cs="宋体"/>
                <w:color w:val="000000"/>
                <w:sz w:val="21"/>
                <w:szCs w:val="21"/>
                <w:lang w:val="en-US" w:eastAsia="zh-CN"/>
              </w:rPr>
              <w:t>栏目内容展示；提供管理后台，支持对各栏目信息的增删改查。</w:t>
            </w:r>
          </w:p>
        </w:tc>
      </w:tr>
      <w:tr w14:paraId="1B5BF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09CDCE93">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57</w:t>
            </w:r>
          </w:p>
        </w:tc>
        <w:tc>
          <w:tcPr>
            <w:tcW w:w="889" w:type="pct"/>
            <w:vMerge w:val="continue"/>
            <w:tcBorders>
              <w:tl2br w:val="nil"/>
              <w:tr2bl w:val="nil"/>
            </w:tcBorders>
            <w:noWrap/>
            <w:vAlign w:val="center"/>
          </w:tcPr>
          <w:p w14:paraId="0AB4ED9C">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519B8CDB">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DD5DE0F">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培训课程</w:t>
            </w:r>
          </w:p>
        </w:tc>
        <w:tc>
          <w:tcPr>
            <w:tcW w:w="1791" w:type="pct"/>
            <w:tcBorders>
              <w:tl2br w:val="nil"/>
              <w:tr2bl w:val="nil"/>
            </w:tcBorders>
            <w:vAlign w:val="center"/>
          </w:tcPr>
          <w:p w14:paraId="69DC026E">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搭建培训课程前台模块，分产业培训课程、专业培训课程、政策培训课程</w:t>
            </w:r>
            <w:r>
              <w:rPr>
                <w:rFonts w:hint="eastAsia" w:ascii="宋体" w:hAnsi="宋体" w:cs="宋体"/>
                <w:color w:val="000000"/>
                <w:sz w:val="21"/>
                <w:szCs w:val="21"/>
                <w:lang w:val="en-US" w:eastAsia="zh-CN"/>
              </w:rPr>
              <w:t>等</w:t>
            </w:r>
            <w:r>
              <w:rPr>
                <w:rFonts w:hint="eastAsia" w:ascii="宋体" w:hAnsi="宋体" w:eastAsia="宋体" w:cs="宋体"/>
                <w:color w:val="000000"/>
                <w:sz w:val="21"/>
                <w:szCs w:val="21"/>
                <w:lang w:val="en-US" w:eastAsia="zh-CN"/>
              </w:rPr>
              <w:t>栏目进行课程展示；支持在线pdf课件学习和在线播放学习；支持用户学习时长计时和提醒；提供课程内容管理后台，支持课程内容的增删改查。</w:t>
            </w:r>
          </w:p>
        </w:tc>
      </w:tr>
      <w:tr w14:paraId="3BFB4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79DA4C82">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58</w:t>
            </w:r>
          </w:p>
        </w:tc>
        <w:tc>
          <w:tcPr>
            <w:tcW w:w="889" w:type="pct"/>
            <w:vMerge w:val="continue"/>
            <w:tcBorders>
              <w:tl2br w:val="nil"/>
              <w:tr2bl w:val="nil"/>
            </w:tcBorders>
            <w:noWrap/>
            <w:vAlign w:val="center"/>
          </w:tcPr>
          <w:p w14:paraId="5303B407">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0FB25F14">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787A17D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课程考试</w:t>
            </w:r>
          </w:p>
        </w:tc>
        <w:tc>
          <w:tcPr>
            <w:tcW w:w="1791" w:type="pct"/>
            <w:tcBorders>
              <w:tl2br w:val="nil"/>
              <w:tr2bl w:val="nil"/>
            </w:tcBorders>
            <w:vAlign w:val="center"/>
          </w:tcPr>
          <w:p w14:paraId="640DDEDC">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搭建在线课程考试前台，提供产业课程考试、专业课程考试和政策知识考试</w:t>
            </w:r>
            <w:r>
              <w:rPr>
                <w:rFonts w:hint="eastAsia" w:ascii="宋体" w:hAnsi="宋体" w:cs="宋体"/>
                <w:color w:val="000000"/>
                <w:sz w:val="21"/>
                <w:szCs w:val="21"/>
                <w:lang w:val="en-US" w:eastAsia="zh-CN"/>
              </w:rPr>
              <w:t>等</w:t>
            </w:r>
            <w:r>
              <w:rPr>
                <w:rFonts w:hint="eastAsia" w:ascii="宋体" w:hAnsi="宋体" w:eastAsia="宋体" w:cs="宋体"/>
                <w:color w:val="000000"/>
                <w:sz w:val="21"/>
                <w:szCs w:val="21"/>
                <w:lang w:val="en-US" w:eastAsia="zh-CN"/>
              </w:rPr>
              <w:t>考试模块；支持设置考试门槛，需要学习培训课程满足条件后才能进行考试；支持考试结果的自动打分和成绩展示；支持错题整理分析；支持重考；</w:t>
            </w:r>
          </w:p>
        </w:tc>
      </w:tr>
      <w:tr w14:paraId="347DE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75D82AF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59</w:t>
            </w:r>
          </w:p>
        </w:tc>
        <w:tc>
          <w:tcPr>
            <w:tcW w:w="889" w:type="pct"/>
            <w:vMerge w:val="continue"/>
            <w:tcBorders>
              <w:tl2br w:val="nil"/>
              <w:tr2bl w:val="nil"/>
            </w:tcBorders>
            <w:noWrap/>
            <w:vAlign w:val="center"/>
          </w:tcPr>
          <w:p w14:paraId="421181A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71CDFC1">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E80C0B4">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个人信息</w:t>
            </w:r>
          </w:p>
        </w:tc>
        <w:tc>
          <w:tcPr>
            <w:tcW w:w="1791" w:type="pct"/>
            <w:tcBorders>
              <w:tl2br w:val="nil"/>
              <w:tr2bl w:val="nil"/>
            </w:tcBorders>
            <w:vAlign w:val="center"/>
          </w:tcPr>
          <w:p w14:paraId="6B250F72">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提供个人信息展示模块，展示内容包括个人基础信息、学习记录、考试记录、学习时长、学分；支持打卡签到功能；提供客服与帮助信息；</w:t>
            </w:r>
          </w:p>
        </w:tc>
      </w:tr>
      <w:tr w14:paraId="4472B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3B5FEBB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60</w:t>
            </w:r>
          </w:p>
        </w:tc>
        <w:tc>
          <w:tcPr>
            <w:tcW w:w="889" w:type="pct"/>
            <w:vMerge w:val="continue"/>
            <w:tcBorders>
              <w:tl2br w:val="nil"/>
              <w:tr2bl w:val="nil"/>
            </w:tcBorders>
            <w:noWrap/>
            <w:vAlign w:val="center"/>
          </w:tcPr>
          <w:p w14:paraId="41D67603">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4949CB9E">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D94008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我的学分</w:t>
            </w:r>
          </w:p>
        </w:tc>
        <w:tc>
          <w:tcPr>
            <w:tcW w:w="1791" w:type="pct"/>
            <w:tcBorders>
              <w:tl2br w:val="nil"/>
              <w:tr2bl w:val="nil"/>
            </w:tcBorders>
            <w:vAlign w:val="center"/>
          </w:tcPr>
          <w:p w14:paraId="2875162D">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后台统计展示用户学分数据、学习任务和学习历史数据；支持对用户学习任务进行配置管理。</w:t>
            </w:r>
          </w:p>
        </w:tc>
      </w:tr>
      <w:tr w14:paraId="32C83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07922C6F">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61</w:t>
            </w:r>
          </w:p>
        </w:tc>
        <w:tc>
          <w:tcPr>
            <w:tcW w:w="889" w:type="pct"/>
            <w:vMerge w:val="continue"/>
            <w:tcBorders>
              <w:tl2br w:val="nil"/>
              <w:tr2bl w:val="nil"/>
            </w:tcBorders>
            <w:noWrap/>
            <w:vAlign w:val="center"/>
          </w:tcPr>
          <w:p w14:paraId="27FA179C">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628D7FBB">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4E8FF6F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我的排名</w:t>
            </w:r>
          </w:p>
        </w:tc>
        <w:tc>
          <w:tcPr>
            <w:tcW w:w="1791" w:type="pct"/>
            <w:tcBorders>
              <w:tl2br w:val="nil"/>
              <w:tr2bl w:val="nil"/>
            </w:tcBorders>
            <w:vAlign w:val="center"/>
          </w:tcPr>
          <w:p w14:paraId="5145AEF1">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提供分单位维度和个人维度进行排名统计展示。</w:t>
            </w:r>
          </w:p>
        </w:tc>
      </w:tr>
      <w:tr w14:paraId="606B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058F3DC3">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62</w:t>
            </w:r>
          </w:p>
        </w:tc>
        <w:tc>
          <w:tcPr>
            <w:tcW w:w="889" w:type="pct"/>
            <w:vMerge w:val="continue"/>
            <w:tcBorders>
              <w:tl2br w:val="nil"/>
              <w:tr2bl w:val="nil"/>
            </w:tcBorders>
            <w:noWrap/>
            <w:vAlign w:val="center"/>
          </w:tcPr>
          <w:p w14:paraId="3CFCF155">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18798E7">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34A6E6B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小程序后台管理系统登录鉴权</w:t>
            </w:r>
          </w:p>
        </w:tc>
        <w:tc>
          <w:tcPr>
            <w:tcW w:w="1791" w:type="pct"/>
            <w:tcBorders>
              <w:tl2br w:val="nil"/>
              <w:tr2bl w:val="nil"/>
            </w:tcBorders>
            <w:vAlign w:val="center"/>
          </w:tcPr>
          <w:p w14:paraId="3D602DD6">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提供专属管理员登录入口，方便被授权人员登录后台管理系统进行内容维护。</w:t>
            </w:r>
          </w:p>
        </w:tc>
      </w:tr>
      <w:tr w14:paraId="75789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5002FD4A">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63</w:t>
            </w:r>
          </w:p>
        </w:tc>
        <w:tc>
          <w:tcPr>
            <w:tcW w:w="889" w:type="pct"/>
            <w:vMerge w:val="continue"/>
            <w:tcBorders>
              <w:tl2br w:val="nil"/>
              <w:tr2bl w:val="nil"/>
            </w:tcBorders>
            <w:noWrap/>
            <w:vAlign w:val="center"/>
          </w:tcPr>
          <w:p w14:paraId="68E1C68C">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3BB1F206">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5570A0F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小程序系统管理</w:t>
            </w:r>
          </w:p>
        </w:tc>
        <w:tc>
          <w:tcPr>
            <w:tcW w:w="1791" w:type="pct"/>
            <w:tcBorders>
              <w:tl2br w:val="nil"/>
              <w:tr2bl w:val="nil"/>
            </w:tcBorders>
            <w:vAlign w:val="center"/>
          </w:tcPr>
          <w:p w14:paraId="6F2B1BC2">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提供系统管理功能，包括用户管理、管理员管理、部门管理、权限管理和角色管理5个模块。</w:t>
            </w:r>
          </w:p>
        </w:tc>
      </w:tr>
      <w:tr w14:paraId="0A3FD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D6A94F5">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64</w:t>
            </w:r>
          </w:p>
        </w:tc>
        <w:tc>
          <w:tcPr>
            <w:tcW w:w="889" w:type="pct"/>
            <w:vMerge w:val="continue"/>
            <w:tcBorders>
              <w:tl2br w:val="nil"/>
              <w:tr2bl w:val="nil"/>
            </w:tcBorders>
            <w:noWrap/>
            <w:vAlign w:val="center"/>
          </w:tcPr>
          <w:p w14:paraId="2D668BEE">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6C223D2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18677E7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试卷管理</w:t>
            </w:r>
          </w:p>
        </w:tc>
        <w:tc>
          <w:tcPr>
            <w:tcW w:w="1791" w:type="pct"/>
            <w:tcBorders>
              <w:tl2br w:val="nil"/>
              <w:tr2bl w:val="nil"/>
            </w:tcBorders>
            <w:vAlign w:val="center"/>
          </w:tcPr>
          <w:p w14:paraId="640FD6DB">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提供试卷的创建、编辑、删除和检索等管理工作；支持管理员上传</w:t>
            </w:r>
            <w:r>
              <w:rPr>
                <w:rFonts w:hint="eastAsia" w:ascii="宋体" w:hAnsi="宋体" w:cs="宋体"/>
                <w:color w:val="000000"/>
                <w:sz w:val="21"/>
                <w:szCs w:val="21"/>
                <w:lang w:val="en-US" w:eastAsia="zh-CN"/>
              </w:rPr>
              <w:t>各类</w:t>
            </w:r>
            <w:r>
              <w:rPr>
                <w:rFonts w:hint="eastAsia" w:ascii="宋体" w:hAnsi="宋体" w:eastAsia="宋体" w:cs="宋体"/>
                <w:color w:val="000000"/>
                <w:sz w:val="21"/>
                <w:szCs w:val="21"/>
                <w:lang w:val="en-US" w:eastAsia="zh-CN"/>
              </w:rPr>
              <w:t>培训试卷。</w:t>
            </w:r>
          </w:p>
        </w:tc>
      </w:tr>
      <w:tr w14:paraId="55DE4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6107A1AF">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65</w:t>
            </w:r>
          </w:p>
        </w:tc>
        <w:tc>
          <w:tcPr>
            <w:tcW w:w="889" w:type="pct"/>
            <w:vMerge w:val="continue"/>
            <w:tcBorders>
              <w:tl2br w:val="nil"/>
              <w:tr2bl w:val="nil"/>
            </w:tcBorders>
            <w:noWrap/>
            <w:vAlign w:val="center"/>
          </w:tcPr>
          <w:p w14:paraId="2C34F50F">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5A5DAB08">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233B9F4F">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题库管理</w:t>
            </w:r>
          </w:p>
        </w:tc>
        <w:tc>
          <w:tcPr>
            <w:tcW w:w="1791" w:type="pct"/>
            <w:tcBorders>
              <w:tl2br w:val="nil"/>
              <w:tr2bl w:val="nil"/>
            </w:tcBorders>
            <w:vAlign w:val="center"/>
          </w:tcPr>
          <w:p w14:paraId="1A79551C">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提供题库管理和题目管理两个模块，支持对题库和题目进行增删改查。</w:t>
            </w:r>
          </w:p>
        </w:tc>
      </w:tr>
      <w:tr w14:paraId="0D367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5B50F6C5">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66</w:t>
            </w:r>
          </w:p>
        </w:tc>
        <w:tc>
          <w:tcPr>
            <w:tcW w:w="889" w:type="pct"/>
            <w:vMerge w:val="continue"/>
            <w:tcBorders>
              <w:tl2br w:val="nil"/>
              <w:tr2bl w:val="nil"/>
            </w:tcBorders>
            <w:noWrap/>
            <w:vAlign w:val="center"/>
          </w:tcPr>
          <w:p w14:paraId="65F1089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1E3AFE5A">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DBFEF9C">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好书管理</w:t>
            </w:r>
          </w:p>
        </w:tc>
        <w:tc>
          <w:tcPr>
            <w:tcW w:w="1791" w:type="pct"/>
            <w:tcBorders>
              <w:tl2br w:val="nil"/>
              <w:tr2bl w:val="nil"/>
            </w:tcBorders>
            <w:vAlign w:val="center"/>
          </w:tcPr>
          <w:p w14:paraId="0B3FE208">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提供好书上传管理功能，支持用户上传书籍文件，并编目书籍介绍信息；并提供书籍的增删改查等管理功能。</w:t>
            </w:r>
          </w:p>
        </w:tc>
      </w:tr>
      <w:tr w14:paraId="07F90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4E6CD0C3">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67</w:t>
            </w:r>
          </w:p>
        </w:tc>
        <w:tc>
          <w:tcPr>
            <w:tcW w:w="889" w:type="pct"/>
            <w:vMerge w:val="continue"/>
            <w:tcBorders>
              <w:tl2br w:val="nil"/>
              <w:tr2bl w:val="nil"/>
            </w:tcBorders>
            <w:noWrap/>
            <w:vAlign w:val="center"/>
          </w:tcPr>
          <w:p w14:paraId="2ADC294E">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restart"/>
            <w:tcBorders>
              <w:tl2br w:val="nil"/>
              <w:tr2bl w:val="nil"/>
            </w:tcBorders>
            <w:vAlign w:val="center"/>
          </w:tcPr>
          <w:p w14:paraId="3789035D">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商业大数据分析</w:t>
            </w:r>
          </w:p>
        </w:tc>
        <w:tc>
          <w:tcPr>
            <w:tcW w:w="840" w:type="pct"/>
            <w:tcBorders>
              <w:tl2br w:val="nil"/>
              <w:tr2bl w:val="nil"/>
            </w:tcBorders>
            <w:vAlign w:val="center"/>
          </w:tcPr>
          <w:p w14:paraId="697C532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区域信息</w:t>
            </w:r>
          </w:p>
        </w:tc>
        <w:tc>
          <w:tcPr>
            <w:tcW w:w="1791" w:type="pct"/>
            <w:tcBorders>
              <w:tl2br w:val="nil"/>
              <w:tr2bl w:val="nil"/>
            </w:tcBorders>
            <w:vAlign w:val="center"/>
          </w:tcPr>
          <w:p w14:paraId="7EBBD0ED">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依托人口与基础设施数字资源，提供空间范围圈选能力，可视化呈现圈选区域内</w:t>
            </w:r>
            <w:r>
              <w:rPr>
                <w:rFonts w:hint="eastAsia" w:ascii="宋体" w:hAnsi="宋体" w:cs="宋体"/>
                <w:color w:val="000000"/>
                <w:sz w:val="21"/>
                <w:szCs w:val="21"/>
                <w:lang w:val="en-US" w:eastAsia="zh-CN"/>
              </w:rPr>
              <w:t>常驻人口</w:t>
            </w:r>
            <w:r>
              <w:rPr>
                <w:rFonts w:hint="eastAsia" w:ascii="宋体" w:hAnsi="宋体" w:eastAsia="宋体" w:cs="宋体"/>
                <w:color w:val="000000"/>
                <w:sz w:val="21"/>
                <w:szCs w:val="21"/>
                <w:lang w:val="en-US" w:eastAsia="zh-CN"/>
              </w:rPr>
              <w:t>的规模与密度。支持用户一键生成结构化、可下载、可嵌入商业报告的分析结果。</w:t>
            </w:r>
          </w:p>
        </w:tc>
      </w:tr>
      <w:tr w14:paraId="6017E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7DD62C9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68</w:t>
            </w:r>
          </w:p>
        </w:tc>
        <w:tc>
          <w:tcPr>
            <w:tcW w:w="889" w:type="pct"/>
            <w:vMerge w:val="continue"/>
            <w:tcBorders>
              <w:tl2br w:val="nil"/>
              <w:tr2bl w:val="nil"/>
            </w:tcBorders>
            <w:noWrap/>
            <w:vAlign w:val="center"/>
          </w:tcPr>
          <w:p w14:paraId="349AE102">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15AA17A0">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6CD81E7C">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区域消费-消费规模</w:t>
            </w:r>
          </w:p>
        </w:tc>
        <w:tc>
          <w:tcPr>
            <w:tcW w:w="1791" w:type="pct"/>
            <w:tcBorders>
              <w:tl2br w:val="nil"/>
              <w:tr2bl w:val="nil"/>
            </w:tcBorders>
            <w:vAlign w:val="center"/>
          </w:tcPr>
          <w:p w14:paraId="15258F14">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集成多维度消费指标，提供按日期类型的消费分布分析；支持动态展示近一年内消费金额、交易笔数及笔均值的变化趋势。支持对全行业及细分业态在不同时段的消费金额与笔数占比进行对比分析。</w:t>
            </w:r>
          </w:p>
        </w:tc>
      </w:tr>
      <w:tr w14:paraId="2BDDE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39CDD9C">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69</w:t>
            </w:r>
          </w:p>
        </w:tc>
        <w:tc>
          <w:tcPr>
            <w:tcW w:w="889" w:type="pct"/>
            <w:vMerge w:val="continue"/>
            <w:tcBorders>
              <w:tl2br w:val="nil"/>
              <w:tr2bl w:val="nil"/>
            </w:tcBorders>
            <w:noWrap/>
            <w:vAlign w:val="center"/>
          </w:tcPr>
          <w:p w14:paraId="5753E206">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0A0C1FC4">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74DF03A4">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区域消费-客群画像</w:t>
            </w:r>
          </w:p>
        </w:tc>
        <w:tc>
          <w:tcPr>
            <w:tcW w:w="1791" w:type="pct"/>
            <w:tcBorders>
              <w:tl2br w:val="nil"/>
              <w:tr2bl w:val="nil"/>
            </w:tcBorders>
            <w:vAlign w:val="center"/>
          </w:tcPr>
          <w:p w14:paraId="56749FC2">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依托大数据建模能力，在用户选定地理范围内自动生成涵盖年龄分布、性别比例、消费能力等级、车产持有情况及房产拥有状况等核心维度的消费者群体画像。支持将上述多维特征以标准化、可视化的图表形式集中呈现，并提供一键导出及嵌入业务分析报告的能力。</w:t>
            </w:r>
          </w:p>
        </w:tc>
      </w:tr>
      <w:tr w14:paraId="19284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D90AB06">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70</w:t>
            </w:r>
          </w:p>
        </w:tc>
        <w:tc>
          <w:tcPr>
            <w:tcW w:w="889" w:type="pct"/>
            <w:vMerge w:val="continue"/>
            <w:tcBorders>
              <w:tl2br w:val="nil"/>
              <w:tr2bl w:val="nil"/>
            </w:tcBorders>
            <w:noWrap/>
            <w:vAlign w:val="center"/>
          </w:tcPr>
          <w:p w14:paraId="27A1F1B4">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restart"/>
            <w:tcBorders>
              <w:tl2br w:val="nil"/>
              <w:tr2bl w:val="nil"/>
            </w:tcBorders>
            <w:vAlign w:val="center"/>
          </w:tcPr>
          <w:p w14:paraId="68E0721F">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0466D74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常驻客群-轨迹特征</w:t>
            </w:r>
          </w:p>
        </w:tc>
        <w:tc>
          <w:tcPr>
            <w:tcW w:w="1791" w:type="pct"/>
            <w:tcBorders>
              <w:tl2br w:val="nil"/>
              <w:tr2bl w:val="nil"/>
            </w:tcBorders>
            <w:vAlign w:val="center"/>
          </w:tcPr>
          <w:p w14:paraId="467BF013">
            <w:pPr>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基于真实人流与行为数据，系统性刻画区域内办公人群与居住人群的双向流动特征及商业偏好。支持对办公人群的居住地分布、居住人群的工作地流向进行空间关联分析，识别两类人群偏好的商场类型或具体商业项目，形成涵盖“职—住—商”全链条的行为画像。</w:t>
            </w:r>
          </w:p>
        </w:tc>
      </w:tr>
      <w:tr w14:paraId="71B53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2E04D314">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71</w:t>
            </w:r>
          </w:p>
        </w:tc>
        <w:tc>
          <w:tcPr>
            <w:tcW w:w="889" w:type="pct"/>
            <w:vMerge w:val="continue"/>
            <w:tcBorders>
              <w:tl2br w:val="nil"/>
              <w:tr2bl w:val="nil"/>
            </w:tcBorders>
            <w:noWrap/>
            <w:vAlign w:val="center"/>
          </w:tcPr>
          <w:p w14:paraId="2CDE2853">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140A0E92">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7762FD6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常驻客群-到访偏好</w:t>
            </w:r>
          </w:p>
        </w:tc>
        <w:tc>
          <w:tcPr>
            <w:tcW w:w="1791" w:type="pct"/>
            <w:tcBorders>
              <w:tl2br w:val="nil"/>
              <w:tr2bl w:val="nil"/>
            </w:tcBorders>
            <w:vAlign w:val="center"/>
          </w:tcPr>
          <w:p w14:paraId="34A8A7B3">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提供基于到访频次占比的业态与业种偏好分析，以及具体品牌的到访偏好及对应占比数据，支持区域与全市两个空间维度的对比输出，结果以结构化数据和可视化形式呈现。</w:t>
            </w:r>
          </w:p>
        </w:tc>
      </w:tr>
      <w:tr w14:paraId="052FB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F6C68EB">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72</w:t>
            </w:r>
          </w:p>
        </w:tc>
        <w:tc>
          <w:tcPr>
            <w:tcW w:w="889" w:type="pct"/>
            <w:vMerge w:val="continue"/>
            <w:tcBorders>
              <w:tl2br w:val="nil"/>
              <w:tr2bl w:val="nil"/>
            </w:tcBorders>
            <w:noWrap/>
            <w:vAlign w:val="center"/>
          </w:tcPr>
          <w:p w14:paraId="55C6B337">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4F61AD10">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28EA80CE">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常驻客群-基础画像</w:t>
            </w:r>
          </w:p>
        </w:tc>
        <w:tc>
          <w:tcPr>
            <w:tcW w:w="1791" w:type="pct"/>
            <w:tcBorders>
              <w:tl2br w:val="nil"/>
              <w:tr2bl w:val="nil"/>
            </w:tcBorders>
            <w:vAlign w:val="center"/>
          </w:tcPr>
          <w:p w14:paraId="4F85B3E1">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提供常驻客群基础画像分析功能，支持对选定区域内居住及办公两类常驻人群进行标签化刻画。</w:t>
            </w:r>
          </w:p>
        </w:tc>
      </w:tr>
      <w:tr w14:paraId="06C27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3E71A6C">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73</w:t>
            </w:r>
          </w:p>
        </w:tc>
        <w:tc>
          <w:tcPr>
            <w:tcW w:w="889" w:type="pct"/>
            <w:vMerge w:val="continue"/>
            <w:tcBorders>
              <w:tl2br w:val="nil"/>
              <w:tr2bl w:val="nil"/>
            </w:tcBorders>
            <w:noWrap/>
            <w:vAlign w:val="center"/>
          </w:tcPr>
          <w:p w14:paraId="4A97A038">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tcBorders>
              <w:tl2br w:val="nil"/>
              <w:tr2bl w:val="nil"/>
            </w:tcBorders>
            <w:vAlign w:val="center"/>
          </w:tcPr>
          <w:p w14:paraId="604CD08D">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shd w:val="clear" w:color="auto" w:fill="auto"/>
            <w:vAlign w:val="center"/>
          </w:tcPr>
          <w:p w14:paraId="06C7A6C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商业数据分析服务</w:t>
            </w:r>
          </w:p>
        </w:tc>
        <w:tc>
          <w:tcPr>
            <w:tcW w:w="1791" w:type="pct"/>
            <w:tcBorders>
              <w:tl2br w:val="nil"/>
              <w:tr2bl w:val="nil"/>
            </w:tcBorders>
            <w:shd w:val="clear" w:color="auto" w:fill="auto"/>
            <w:vAlign w:val="center"/>
          </w:tcPr>
          <w:p w14:paraId="2F7FEE33">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提供</w:t>
            </w:r>
            <w:r>
              <w:rPr>
                <w:rFonts w:hint="eastAsia" w:ascii="宋体" w:hAnsi="宋体" w:eastAsia="宋体" w:cs="宋体"/>
                <w:color w:val="000000"/>
                <w:sz w:val="21"/>
                <w:szCs w:val="21"/>
                <w:lang w:val="en-US" w:eastAsia="zh-CN"/>
              </w:rPr>
              <w:t>区域基础商业数据及分析；客流规模及客群来源地分布分析；到访客群的基础属性、消费偏好及相应分析；以及按周边半径和车行时圈划定围栏区块，输出各区块内的POI配套设施、常驻居住与办公人口数量、常驻客群画像、常驻客群消费偏好、常驻客群职住热力分布等结构化数据。</w:t>
            </w:r>
          </w:p>
        </w:tc>
      </w:tr>
      <w:tr w14:paraId="4DA5F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E059792">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74</w:t>
            </w:r>
          </w:p>
        </w:tc>
        <w:tc>
          <w:tcPr>
            <w:tcW w:w="889" w:type="pct"/>
            <w:vMerge w:val="continue"/>
            <w:tcBorders>
              <w:tl2br w:val="nil"/>
              <w:tr2bl w:val="nil"/>
            </w:tcBorders>
            <w:noWrap/>
            <w:vAlign w:val="center"/>
          </w:tcPr>
          <w:p w14:paraId="45289DA7">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restart"/>
            <w:tcBorders>
              <w:tl2br w:val="nil"/>
              <w:tr2bl w:val="nil"/>
            </w:tcBorders>
            <w:vAlign w:val="center"/>
          </w:tcPr>
          <w:p w14:paraId="68B34DA9">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人口大数据分析服务</w:t>
            </w:r>
          </w:p>
        </w:tc>
        <w:tc>
          <w:tcPr>
            <w:tcW w:w="840" w:type="pct"/>
            <w:tcBorders>
              <w:tl2br w:val="nil"/>
              <w:tr2bl w:val="nil"/>
            </w:tcBorders>
            <w:shd w:val="clear" w:color="auto" w:fill="auto"/>
            <w:vAlign w:val="center"/>
          </w:tcPr>
          <w:p w14:paraId="05F42C7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分析报告服务</w:t>
            </w:r>
          </w:p>
        </w:tc>
        <w:tc>
          <w:tcPr>
            <w:tcW w:w="1791" w:type="pct"/>
            <w:tcBorders>
              <w:tl2br w:val="nil"/>
              <w:tr2bl w:val="nil"/>
            </w:tcBorders>
            <w:shd w:val="clear" w:color="auto" w:fill="auto"/>
            <w:vAlign w:val="center"/>
          </w:tcPr>
          <w:p w14:paraId="5F27792D">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利用运营商手机信令大数据，通过建立人口识别模型，对江阴市18个农贸市场所在的网格居住人口、到访人口进行分析，运行分析一个月度的数据，输出1份总体数据成果。</w:t>
            </w:r>
          </w:p>
        </w:tc>
      </w:tr>
      <w:tr w14:paraId="51594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7F8A7A8">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75</w:t>
            </w:r>
          </w:p>
        </w:tc>
        <w:tc>
          <w:tcPr>
            <w:tcW w:w="889" w:type="pct"/>
            <w:vMerge w:val="continue"/>
            <w:tcBorders>
              <w:tl2br w:val="nil"/>
              <w:tr2bl w:val="nil"/>
            </w:tcBorders>
            <w:noWrap/>
            <w:vAlign w:val="center"/>
          </w:tcPr>
          <w:p w14:paraId="14905092">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1095EB03">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57A4092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居住人口数据服务</w:t>
            </w:r>
          </w:p>
        </w:tc>
        <w:tc>
          <w:tcPr>
            <w:tcW w:w="1791" w:type="pct"/>
            <w:tcBorders>
              <w:tl2br w:val="nil"/>
              <w:tr2bl w:val="nil"/>
            </w:tcBorders>
            <w:vAlign w:val="center"/>
          </w:tcPr>
          <w:p w14:paraId="068D5B2F">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利用运营商手机信令大数据，建立居住人口统计模型，利用大数据技术手段，掌握江阴市18个农贸市场150米*170米的网格的居住人口规模和空间分布</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每个点位输出一份数据成果</w:t>
            </w:r>
            <w:r>
              <w:rPr>
                <w:rFonts w:hint="eastAsia" w:ascii="宋体" w:hAnsi="宋体" w:cs="宋体"/>
                <w:color w:val="000000"/>
                <w:sz w:val="21"/>
                <w:szCs w:val="21"/>
                <w:lang w:val="en-US" w:eastAsia="zh-CN"/>
              </w:rPr>
              <w:t>。</w:t>
            </w:r>
          </w:p>
        </w:tc>
      </w:tr>
      <w:tr w14:paraId="01BC2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55" w:type="pct"/>
            <w:tcBorders>
              <w:tl2br w:val="nil"/>
              <w:tr2bl w:val="nil"/>
            </w:tcBorders>
            <w:noWrap/>
            <w:vAlign w:val="center"/>
          </w:tcPr>
          <w:p w14:paraId="11098D4C">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76</w:t>
            </w:r>
          </w:p>
        </w:tc>
        <w:tc>
          <w:tcPr>
            <w:tcW w:w="889" w:type="pct"/>
            <w:vMerge w:val="continue"/>
            <w:tcBorders>
              <w:tl2br w:val="nil"/>
              <w:tr2bl w:val="nil"/>
            </w:tcBorders>
            <w:noWrap/>
            <w:vAlign w:val="center"/>
          </w:tcPr>
          <w:p w14:paraId="512B5E3E">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123" w:type="pct"/>
            <w:vMerge w:val="continue"/>
            <w:tcBorders>
              <w:tl2br w:val="nil"/>
              <w:tr2bl w:val="nil"/>
            </w:tcBorders>
            <w:vAlign w:val="center"/>
          </w:tcPr>
          <w:p w14:paraId="016E621D">
            <w:pPr>
              <w:widowControl/>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c>
          <w:tcPr>
            <w:tcW w:w="840" w:type="pct"/>
            <w:tcBorders>
              <w:tl2br w:val="nil"/>
              <w:tr2bl w:val="nil"/>
            </w:tcBorders>
            <w:vAlign w:val="center"/>
          </w:tcPr>
          <w:p w14:paraId="5946DA6B">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到访人口数据服务</w:t>
            </w:r>
          </w:p>
        </w:tc>
        <w:tc>
          <w:tcPr>
            <w:tcW w:w="1791" w:type="pct"/>
            <w:tcBorders>
              <w:tl2br w:val="nil"/>
              <w:tr2bl w:val="nil"/>
            </w:tcBorders>
            <w:vAlign w:val="center"/>
          </w:tcPr>
          <w:p w14:paraId="6A335373">
            <w:pPr>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利用运营商手机信令大数据，建立到访人口识别模型，利用大数据技术手段，掌握江阴市18个农贸市场150米*170米的网格的到访人口的规模和空间分布格局，每个点位输出一份数据成果</w:t>
            </w:r>
            <w:r>
              <w:rPr>
                <w:rFonts w:hint="eastAsia" w:ascii="宋体" w:hAnsi="宋体" w:cs="宋体"/>
                <w:color w:val="000000"/>
                <w:sz w:val="21"/>
                <w:szCs w:val="21"/>
                <w:lang w:val="en-US" w:eastAsia="zh-CN"/>
              </w:rPr>
              <w:t>。</w:t>
            </w:r>
          </w:p>
        </w:tc>
      </w:tr>
    </w:tbl>
    <w:p w14:paraId="38CC6113">
      <w:pPr>
        <w:pStyle w:val="4"/>
        <w:numPr>
          <w:ilvl w:val="0"/>
          <w:numId w:val="0"/>
        </w:numPr>
        <w:spacing w:line="400" w:lineRule="exact"/>
        <w:ind w:left="567"/>
        <w:rPr>
          <w:rFonts w:hint="eastAsia"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rPr>
        <w:t>3.1.5</w:t>
      </w:r>
      <w:r>
        <w:rPr>
          <w:rFonts w:hint="eastAsia" w:cs="黑体" w:asciiTheme="minorEastAsia" w:hAnsiTheme="minorEastAsia" w:eastAsiaTheme="minorEastAsia"/>
          <w:sz w:val="24"/>
          <w:szCs w:val="24"/>
          <w:lang w:val="en-US" w:eastAsia="zh-CN"/>
        </w:rPr>
        <w:t>项目全生命周期管理平台升级改造</w:t>
      </w:r>
    </w:p>
    <w:tbl>
      <w:tblPr>
        <w:tblStyle w:val="1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8"/>
        <w:gridCol w:w="3367"/>
        <w:gridCol w:w="1135"/>
        <w:gridCol w:w="706"/>
        <w:gridCol w:w="2673"/>
      </w:tblGrid>
      <w:tr w14:paraId="1999A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374" w:type="pct"/>
            <w:tcBorders>
              <w:tl2br w:val="nil"/>
              <w:tr2bl w:val="nil"/>
            </w:tcBorders>
            <w:noWrap/>
            <w:vAlign w:val="center"/>
          </w:tcPr>
          <w:p w14:paraId="582BC1DF">
            <w:pPr>
              <w:keepNext/>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序号</w:t>
            </w:r>
          </w:p>
        </w:tc>
        <w:tc>
          <w:tcPr>
            <w:tcW w:w="1975" w:type="pct"/>
            <w:tcBorders>
              <w:tl2br w:val="nil"/>
              <w:tr2bl w:val="nil"/>
            </w:tcBorders>
            <w:vAlign w:val="center"/>
          </w:tcPr>
          <w:p w14:paraId="603DC5D4">
            <w:pPr>
              <w:keepNext/>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分项名称</w:t>
            </w:r>
          </w:p>
        </w:tc>
        <w:tc>
          <w:tcPr>
            <w:tcW w:w="666" w:type="pct"/>
            <w:tcBorders>
              <w:tl2br w:val="nil"/>
              <w:tr2bl w:val="nil"/>
            </w:tcBorders>
            <w:vAlign w:val="center"/>
          </w:tcPr>
          <w:p w14:paraId="7E8087FD">
            <w:pPr>
              <w:keepNext/>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模块名称</w:t>
            </w:r>
          </w:p>
        </w:tc>
        <w:tc>
          <w:tcPr>
            <w:tcW w:w="414" w:type="pct"/>
            <w:tcBorders>
              <w:tl2br w:val="nil"/>
              <w:tr2bl w:val="nil"/>
            </w:tcBorders>
            <w:vAlign w:val="center"/>
          </w:tcPr>
          <w:p w14:paraId="29E8EF0E">
            <w:pPr>
              <w:keepNext/>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子功能名称</w:t>
            </w:r>
          </w:p>
        </w:tc>
        <w:tc>
          <w:tcPr>
            <w:tcW w:w="1568" w:type="pct"/>
            <w:tcBorders>
              <w:tl2br w:val="nil"/>
              <w:tr2bl w:val="nil"/>
            </w:tcBorders>
            <w:vAlign w:val="center"/>
          </w:tcPr>
          <w:p w14:paraId="7F8492D4">
            <w:pPr>
              <w:keepNext/>
              <w:widowControl/>
              <w:snapToGrid w:val="0"/>
              <w:spacing w:line="240" w:lineRule="auto"/>
              <w:ind w:left="0" w:leftChars="0" w:right="0" w:rightChars="0" w:firstLine="0" w:firstLineChars="0"/>
              <w:jc w:val="center"/>
              <w:textAlignment w:val="center"/>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功能要求</w:t>
            </w:r>
          </w:p>
        </w:tc>
      </w:tr>
      <w:tr w14:paraId="001C0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2F3B65D3">
            <w:pPr>
              <w:keepNext/>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1975" w:type="pct"/>
            <w:vMerge w:val="restart"/>
            <w:tcBorders>
              <w:tl2br w:val="nil"/>
              <w:tr2bl w:val="nil"/>
            </w:tcBorders>
            <w:noWrap/>
            <w:vAlign w:val="center"/>
          </w:tcPr>
          <w:p w14:paraId="7315DB04">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项目全生命周期管理平台升级改造</w:t>
            </w:r>
          </w:p>
        </w:tc>
        <w:tc>
          <w:tcPr>
            <w:tcW w:w="666" w:type="pct"/>
            <w:vMerge w:val="restart"/>
            <w:tcBorders>
              <w:tl2br w:val="nil"/>
              <w:tr2bl w:val="nil"/>
            </w:tcBorders>
            <w:vAlign w:val="center"/>
          </w:tcPr>
          <w:p w14:paraId="5DE7B1D2">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招商流程改造</w:t>
            </w:r>
          </w:p>
        </w:tc>
        <w:tc>
          <w:tcPr>
            <w:tcW w:w="414" w:type="pct"/>
            <w:tcBorders>
              <w:tl2br w:val="nil"/>
              <w:tr2bl w:val="nil"/>
            </w:tcBorders>
            <w:vAlign w:val="center"/>
          </w:tcPr>
          <w:p w14:paraId="3B2CB979">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项目进度汇总</w:t>
            </w:r>
          </w:p>
        </w:tc>
        <w:tc>
          <w:tcPr>
            <w:tcW w:w="1568" w:type="pct"/>
            <w:tcBorders>
              <w:tl2br w:val="nil"/>
              <w:tr2bl w:val="nil"/>
            </w:tcBorders>
            <w:vAlign w:val="center"/>
          </w:tcPr>
          <w:p w14:paraId="3582FC3C">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建设项目进度汇总列表，查看所有在库项目信息，支持项目形象进度的数据更新，支持项目产值税收数据的批量导入，支持问题提问、项目终止、人才信息管理等操作功能；支持项目信息的多条件检索和批量导出。</w:t>
            </w:r>
          </w:p>
        </w:tc>
      </w:tr>
      <w:tr w14:paraId="7D376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3B2C70D1">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p>
        </w:tc>
        <w:tc>
          <w:tcPr>
            <w:tcW w:w="1975" w:type="pct"/>
            <w:vMerge w:val="continue"/>
            <w:tcBorders>
              <w:tl2br w:val="nil"/>
              <w:tr2bl w:val="nil"/>
            </w:tcBorders>
            <w:noWrap/>
            <w:vAlign w:val="center"/>
          </w:tcPr>
          <w:p w14:paraId="412BF586">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6B1D2F2D">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1DE57AFA">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招商线索登记和管理</w:t>
            </w:r>
          </w:p>
        </w:tc>
        <w:tc>
          <w:tcPr>
            <w:tcW w:w="1568" w:type="pct"/>
            <w:tcBorders>
              <w:tl2br w:val="nil"/>
              <w:tr2bl w:val="nil"/>
            </w:tcBorders>
            <w:vAlign w:val="center"/>
          </w:tcPr>
          <w:p w14:paraId="70BD303A">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提供招商线索登记和管理功能，支持线索数据批量导入和导出。提供手机端小程序招商线索数据登记和管理功能，功能和PC端相同。</w:t>
            </w:r>
          </w:p>
        </w:tc>
      </w:tr>
      <w:tr w14:paraId="69E8E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1436449D">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p>
        </w:tc>
        <w:tc>
          <w:tcPr>
            <w:tcW w:w="1975" w:type="pct"/>
            <w:vMerge w:val="continue"/>
            <w:tcBorders>
              <w:tl2br w:val="nil"/>
              <w:tr2bl w:val="nil"/>
            </w:tcBorders>
            <w:noWrap/>
            <w:vAlign w:val="center"/>
          </w:tcPr>
          <w:p w14:paraId="209FAAA5">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72AB87F1">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745E4EBD">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日常汇报登记管理</w:t>
            </w:r>
          </w:p>
        </w:tc>
        <w:tc>
          <w:tcPr>
            <w:tcW w:w="1568" w:type="pct"/>
            <w:tcBorders>
              <w:tl2br w:val="nil"/>
              <w:tr2bl w:val="nil"/>
            </w:tcBorders>
            <w:vAlign w:val="center"/>
          </w:tcPr>
          <w:p w14:paraId="5DEAF537">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提供招商活动和招商成效管理功能，记录板块和部门日常招商进度信息；支持数据的批量导入和导出。同步建设手机端小程序功能，提供同PC端一样的数据录入和日常管理功能。</w:t>
            </w:r>
          </w:p>
        </w:tc>
      </w:tr>
      <w:tr w14:paraId="566E9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5EC000D1">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p>
        </w:tc>
        <w:tc>
          <w:tcPr>
            <w:tcW w:w="1975" w:type="pct"/>
            <w:vMerge w:val="continue"/>
            <w:tcBorders>
              <w:tl2br w:val="nil"/>
              <w:tr2bl w:val="nil"/>
            </w:tcBorders>
            <w:noWrap/>
            <w:vAlign w:val="center"/>
          </w:tcPr>
          <w:p w14:paraId="3462297E">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63D1F65D">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346CB553">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项目推荐</w:t>
            </w:r>
          </w:p>
        </w:tc>
        <w:tc>
          <w:tcPr>
            <w:tcW w:w="1568" w:type="pct"/>
            <w:tcBorders>
              <w:tl2br w:val="nil"/>
              <w:tr2bl w:val="nil"/>
            </w:tcBorders>
            <w:vAlign w:val="center"/>
          </w:tcPr>
          <w:p w14:paraId="7C164A11">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建设项目推荐功能，支持多渠道发起项目推荐登记，支持商务局对板块登记的项目信息进行审核和全域分配推送；提供项目推送、项目承接、项目终止功能。</w:t>
            </w:r>
          </w:p>
        </w:tc>
      </w:tr>
      <w:tr w14:paraId="3EA3F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0051E16C">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w:t>
            </w:r>
          </w:p>
        </w:tc>
        <w:tc>
          <w:tcPr>
            <w:tcW w:w="1975" w:type="pct"/>
            <w:vMerge w:val="continue"/>
            <w:tcBorders>
              <w:tl2br w:val="nil"/>
              <w:tr2bl w:val="nil"/>
            </w:tcBorders>
            <w:noWrap/>
            <w:vAlign w:val="center"/>
          </w:tcPr>
          <w:p w14:paraId="6C5855AE">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01677118">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7E8B4C33">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科技局招商管理</w:t>
            </w:r>
          </w:p>
        </w:tc>
        <w:tc>
          <w:tcPr>
            <w:tcW w:w="1568" w:type="pct"/>
            <w:tcBorders>
              <w:tl2br w:val="nil"/>
              <w:tr2bl w:val="nil"/>
            </w:tcBorders>
            <w:vAlign w:val="center"/>
          </w:tcPr>
          <w:p w14:paraId="3E376525">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提供科技项目招商管理功能，提供项目登记、审核、板块推荐和项目流转等功能；支持项目信息的批量导入和导出；提供短信预警功能。</w:t>
            </w:r>
          </w:p>
        </w:tc>
      </w:tr>
      <w:tr w14:paraId="0CD4C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43D2778C">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p>
        </w:tc>
        <w:tc>
          <w:tcPr>
            <w:tcW w:w="1975" w:type="pct"/>
            <w:vMerge w:val="continue"/>
            <w:tcBorders>
              <w:tl2br w:val="nil"/>
              <w:tr2bl w:val="nil"/>
            </w:tcBorders>
            <w:noWrap/>
            <w:vAlign w:val="center"/>
          </w:tcPr>
          <w:p w14:paraId="37712E5C">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147C5F4D">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64263AAA">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人才办招商管理</w:t>
            </w:r>
          </w:p>
        </w:tc>
        <w:tc>
          <w:tcPr>
            <w:tcW w:w="1568" w:type="pct"/>
            <w:tcBorders>
              <w:tl2br w:val="nil"/>
              <w:tr2bl w:val="nil"/>
            </w:tcBorders>
            <w:vAlign w:val="center"/>
          </w:tcPr>
          <w:p w14:paraId="1291281A">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提供项目人才信息登记管理功能，板块提供人才信息登记管理和反馈信息查看功能；部门提供人才信息查看和政策反馈功能；支持人才信息的批量导入和导出。</w:t>
            </w:r>
          </w:p>
        </w:tc>
      </w:tr>
      <w:tr w14:paraId="4EDB7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30A4C214">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p>
        </w:tc>
        <w:tc>
          <w:tcPr>
            <w:tcW w:w="1975" w:type="pct"/>
            <w:vMerge w:val="continue"/>
            <w:tcBorders>
              <w:tl2br w:val="nil"/>
              <w:tr2bl w:val="nil"/>
            </w:tcBorders>
            <w:noWrap/>
            <w:vAlign w:val="center"/>
          </w:tcPr>
          <w:p w14:paraId="757CF4A2">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restart"/>
            <w:tcBorders>
              <w:tl2br w:val="nil"/>
              <w:tr2bl w:val="nil"/>
            </w:tcBorders>
            <w:vAlign w:val="center"/>
          </w:tcPr>
          <w:p w14:paraId="0FE6A5C7">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项目签约前评审流程改造</w:t>
            </w:r>
          </w:p>
        </w:tc>
        <w:tc>
          <w:tcPr>
            <w:tcW w:w="414" w:type="pct"/>
            <w:tcBorders>
              <w:tl2br w:val="nil"/>
              <w:tr2bl w:val="nil"/>
            </w:tcBorders>
            <w:vAlign w:val="center"/>
          </w:tcPr>
          <w:p w14:paraId="34B8DA38">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自评项目流程</w:t>
            </w:r>
          </w:p>
        </w:tc>
        <w:tc>
          <w:tcPr>
            <w:tcW w:w="1568" w:type="pct"/>
            <w:tcBorders>
              <w:tl2br w:val="nil"/>
              <w:tr2bl w:val="nil"/>
            </w:tcBorders>
            <w:vAlign w:val="center"/>
          </w:tcPr>
          <w:p w14:paraId="048C09AA">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新增自评项目流程；同步配套建设手机端小程序流程审核功能。</w:t>
            </w:r>
          </w:p>
        </w:tc>
      </w:tr>
      <w:tr w14:paraId="73175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1BD19F94">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p>
        </w:tc>
        <w:tc>
          <w:tcPr>
            <w:tcW w:w="1975" w:type="pct"/>
            <w:vMerge w:val="continue"/>
            <w:tcBorders>
              <w:tl2br w:val="nil"/>
              <w:tr2bl w:val="nil"/>
            </w:tcBorders>
            <w:noWrap/>
            <w:vAlign w:val="center"/>
          </w:tcPr>
          <w:p w14:paraId="48710BED">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2BD1048F">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1EC9180A">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风险预评估流程</w:t>
            </w:r>
          </w:p>
        </w:tc>
        <w:tc>
          <w:tcPr>
            <w:tcW w:w="1568" w:type="pct"/>
            <w:tcBorders>
              <w:tl2br w:val="nil"/>
              <w:tr2bl w:val="nil"/>
            </w:tcBorders>
            <w:vAlign w:val="center"/>
          </w:tcPr>
          <w:p w14:paraId="292B88F2">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增加市领导审核、最终批阅和意见反馈，同步建设微信小程序端市领导审核功能；提供评审流程跳过功能；提供短信预警提示功能。</w:t>
            </w:r>
          </w:p>
        </w:tc>
      </w:tr>
      <w:tr w14:paraId="03DA1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4BE16045">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p>
        </w:tc>
        <w:tc>
          <w:tcPr>
            <w:tcW w:w="1975" w:type="pct"/>
            <w:vMerge w:val="continue"/>
            <w:tcBorders>
              <w:tl2br w:val="nil"/>
              <w:tr2bl w:val="nil"/>
            </w:tcBorders>
            <w:noWrap/>
            <w:vAlign w:val="center"/>
          </w:tcPr>
          <w:p w14:paraId="4C71D408">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0FDE2030">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0DB0C96F">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工业用地评审流程</w:t>
            </w:r>
          </w:p>
        </w:tc>
        <w:tc>
          <w:tcPr>
            <w:tcW w:w="1568" w:type="pct"/>
            <w:tcBorders>
              <w:tl2br w:val="nil"/>
              <w:tr2bl w:val="nil"/>
            </w:tcBorders>
            <w:vAlign w:val="center"/>
          </w:tcPr>
          <w:p w14:paraId="1FAF7893">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加入市领导审核、最终批阅和意见反馈，同步建设微信小程序端市领导审核功能；提供评审流程跳过功能；提供短信预警提示功能。</w:t>
            </w:r>
          </w:p>
        </w:tc>
      </w:tr>
      <w:tr w14:paraId="2422B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24DFD02C">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10</w:t>
            </w:r>
          </w:p>
        </w:tc>
        <w:tc>
          <w:tcPr>
            <w:tcW w:w="1975" w:type="pct"/>
            <w:vMerge w:val="continue"/>
            <w:tcBorders>
              <w:tl2br w:val="nil"/>
              <w:tr2bl w:val="nil"/>
            </w:tcBorders>
            <w:noWrap/>
            <w:vAlign w:val="center"/>
          </w:tcPr>
          <w:p w14:paraId="0B84F2A7">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restart"/>
            <w:tcBorders>
              <w:tl2br w:val="nil"/>
              <w:tr2bl w:val="nil"/>
            </w:tcBorders>
            <w:vAlign w:val="center"/>
          </w:tcPr>
          <w:p w14:paraId="2C55B552">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平台优化内容</w:t>
            </w:r>
          </w:p>
        </w:tc>
        <w:tc>
          <w:tcPr>
            <w:tcW w:w="414" w:type="pct"/>
            <w:tcBorders>
              <w:tl2br w:val="nil"/>
              <w:tr2bl w:val="nil"/>
            </w:tcBorders>
            <w:vAlign w:val="center"/>
          </w:tcPr>
          <w:p w14:paraId="67DFB0B0">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镇街合并和算法调整</w:t>
            </w:r>
          </w:p>
        </w:tc>
        <w:tc>
          <w:tcPr>
            <w:tcW w:w="1568" w:type="pct"/>
            <w:tcBorders>
              <w:tl2br w:val="nil"/>
              <w:tr2bl w:val="nil"/>
            </w:tcBorders>
            <w:vAlign w:val="center"/>
          </w:tcPr>
          <w:p w14:paraId="40C86D39">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五率考核汇总、重大产业项目签约汇总表、重大产业项目目标任务完成情况表、重大产业项目备案汇总表、当年新建未开工项目汇总表等涉及板块汇总数据的统计分析页面，镇街园区结构按功能区概念进行合并调整。</w:t>
            </w:r>
          </w:p>
        </w:tc>
      </w:tr>
      <w:tr w14:paraId="5B5D6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68EFC7A3">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p>
        </w:tc>
        <w:tc>
          <w:tcPr>
            <w:tcW w:w="1975" w:type="pct"/>
            <w:vMerge w:val="continue"/>
            <w:tcBorders>
              <w:tl2br w:val="nil"/>
              <w:tr2bl w:val="nil"/>
            </w:tcBorders>
            <w:noWrap/>
            <w:vAlign w:val="center"/>
          </w:tcPr>
          <w:p w14:paraId="1DFD6DE3">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18A6C542">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437ED0B6">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小程序端</w:t>
            </w:r>
          </w:p>
        </w:tc>
        <w:tc>
          <w:tcPr>
            <w:tcW w:w="1568" w:type="pct"/>
            <w:tcBorders>
              <w:tl2br w:val="nil"/>
              <w:tr2bl w:val="nil"/>
            </w:tcBorders>
            <w:vAlign w:val="center"/>
          </w:tcPr>
          <w:p w14:paraId="7CED147E">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根据部门需求对首页各项统计分析内容进行调整，增加“无锡大市重大项目情况对比”模块，按地区汇总情况、招引备案情况、百个开工完成情况、百个竣工完成情况、招引项目五率等方面进行统计和展示；提供项目问题管理模块，同步PC端项目问题数据，实现手机端的项目问题登记、流转、反馈确认等功能；提供项目问题处理超时和项目预警短信提醒功能。</w:t>
            </w:r>
          </w:p>
        </w:tc>
      </w:tr>
      <w:tr w14:paraId="7D047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1CE1BF95">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12</w:t>
            </w:r>
          </w:p>
        </w:tc>
        <w:tc>
          <w:tcPr>
            <w:tcW w:w="1975" w:type="pct"/>
            <w:vMerge w:val="continue"/>
            <w:tcBorders>
              <w:tl2br w:val="nil"/>
              <w:tr2bl w:val="nil"/>
            </w:tcBorders>
            <w:noWrap/>
            <w:vAlign w:val="center"/>
          </w:tcPr>
          <w:p w14:paraId="464ACD38">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3E1E1DAB">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186C7D20">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风险预评估流程新增分支流程</w:t>
            </w:r>
          </w:p>
        </w:tc>
        <w:tc>
          <w:tcPr>
            <w:tcW w:w="1568" w:type="pct"/>
            <w:tcBorders>
              <w:tl2br w:val="nil"/>
              <w:tr2bl w:val="nil"/>
            </w:tcBorders>
            <w:vAlign w:val="center"/>
          </w:tcPr>
          <w:p w14:paraId="5910B88D">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风险预评估流程新增标准厂房类型评审分支，同步构建业务流程，提供多部门审核反馈意见，部门领导二次审核反馈意见，审委会和领导进行终审反馈功能。</w:t>
            </w:r>
          </w:p>
        </w:tc>
      </w:tr>
      <w:tr w14:paraId="26FF6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7A5146E8">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13</w:t>
            </w:r>
          </w:p>
        </w:tc>
        <w:tc>
          <w:tcPr>
            <w:tcW w:w="1975" w:type="pct"/>
            <w:vMerge w:val="continue"/>
            <w:tcBorders>
              <w:tl2br w:val="nil"/>
              <w:tr2bl w:val="nil"/>
            </w:tcBorders>
            <w:noWrap/>
            <w:vAlign w:val="center"/>
          </w:tcPr>
          <w:p w14:paraId="05F04275">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0864EDCD">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21D7B7D9">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重大项目达产模块</w:t>
            </w:r>
          </w:p>
        </w:tc>
        <w:tc>
          <w:tcPr>
            <w:tcW w:w="1568" w:type="pct"/>
            <w:tcBorders>
              <w:tl2br w:val="nil"/>
              <w:tr2bl w:val="nil"/>
            </w:tcBorders>
            <w:vAlign w:val="center"/>
          </w:tcPr>
          <w:p w14:paraId="3E95393A">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重大项目达产达效情况列表优化算法逻辑，将已达产项目纳入统计分析；支持统计数据的导出。</w:t>
            </w:r>
          </w:p>
        </w:tc>
      </w:tr>
      <w:tr w14:paraId="11211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77EBFE55">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14</w:t>
            </w:r>
          </w:p>
        </w:tc>
        <w:tc>
          <w:tcPr>
            <w:tcW w:w="1975" w:type="pct"/>
            <w:vMerge w:val="continue"/>
            <w:tcBorders>
              <w:tl2br w:val="nil"/>
              <w:tr2bl w:val="nil"/>
            </w:tcBorders>
            <w:noWrap/>
            <w:vAlign w:val="center"/>
          </w:tcPr>
          <w:p w14:paraId="07F34DBD">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5438636E">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4860AE50">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新增项目历程图</w:t>
            </w:r>
          </w:p>
        </w:tc>
        <w:tc>
          <w:tcPr>
            <w:tcW w:w="1568" w:type="pct"/>
            <w:tcBorders>
              <w:tl2br w:val="nil"/>
              <w:tr2bl w:val="nil"/>
            </w:tcBorders>
            <w:vAlign w:val="center"/>
          </w:tcPr>
          <w:p w14:paraId="6DB45453">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提供项目全流程信息展示，以时间轴形式展示项目历程信息，包括已经历、过程中和未经历的阶段信息；每个历程节点对应项目各阶段审核概要信息，支持穿透查看详细评审信息。</w:t>
            </w:r>
          </w:p>
        </w:tc>
      </w:tr>
      <w:tr w14:paraId="316D8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04609CEB">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15</w:t>
            </w:r>
          </w:p>
        </w:tc>
        <w:tc>
          <w:tcPr>
            <w:tcW w:w="1975" w:type="pct"/>
            <w:vMerge w:val="continue"/>
            <w:tcBorders>
              <w:tl2br w:val="nil"/>
              <w:tr2bl w:val="nil"/>
            </w:tcBorders>
            <w:noWrap/>
            <w:vAlign w:val="center"/>
          </w:tcPr>
          <w:p w14:paraId="0AA82F2E">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4EADA7C7">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7DD8783E">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项目信息导出功能</w:t>
            </w:r>
          </w:p>
        </w:tc>
        <w:tc>
          <w:tcPr>
            <w:tcW w:w="1568" w:type="pct"/>
            <w:tcBorders>
              <w:tl2br w:val="nil"/>
              <w:tr2bl w:val="nil"/>
            </w:tcBorders>
            <w:vAlign w:val="center"/>
          </w:tcPr>
          <w:p w14:paraId="0298637A">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竣工项目信息列表和达产项目信息列表增加项目信息导出功能，支持根据用户需求定制导出模板。</w:t>
            </w:r>
          </w:p>
        </w:tc>
      </w:tr>
      <w:tr w14:paraId="6ED23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3DC27D23">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16</w:t>
            </w:r>
          </w:p>
        </w:tc>
        <w:tc>
          <w:tcPr>
            <w:tcW w:w="1975" w:type="pct"/>
            <w:vMerge w:val="continue"/>
            <w:tcBorders>
              <w:tl2br w:val="nil"/>
              <w:tr2bl w:val="nil"/>
            </w:tcBorders>
            <w:noWrap/>
            <w:vAlign w:val="center"/>
          </w:tcPr>
          <w:p w14:paraId="5A5A9552">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25E46E0D">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6FB79BA8">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项目监管</w:t>
            </w:r>
          </w:p>
        </w:tc>
        <w:tc>
          <w:tcPr>
            <w:tcW w:w="1568" w:type="pct"/>
            <w:tcBorders>
              <w:tl2br w:val="nil"/>
              <w:tr2bl w:val="nil"/>
            </w:tcBorders>
            <w:vAlign w:val="center"/>
          </w:tcPr>
          <w:p w14:paraId="7E61F18D">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统一重构项目各流转阶段的评审表单信息，并根据不同阶段需求标记必填内容，规范数据填写格式。</w:t>
            </w:r>
          </w:p>
        </w:tc>
      </w:tr>
      <w:tr w14:paraId="2B669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6FCC8568">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17</w:t>
            </w:r>
          </w:p>
        </w:tc>
        <w:tc>
          <w:tcPr>
            <w:tcW w:w="1975" w:type="pct"/>
            <w:vMerge w:val="continue"/>
            <w:tcBorders>
              <w:tl2br w:val="nil"/>
              <w:tr2bl w:val="nil"/>
            </w:tcBorders>
            <w:noWrap/>
            <w:vAlign w:val="center"/>
          </w:tcPr>
          <w:p w14:paraId="160A0403">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7E5A2FA0">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757FB3C3">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可视化平台</w:t>
            </w:r>
          </w:p>
        </w:tc>
        <w:tc>
          <w:tcPr>
            <w:tcW w:w="1568" w:type="pct"/>
            <w:tcBorders>
              <w:tl2br w:val="nil"/>
              <w:tr2bl w:val="nil"/>
            </w:tcBorders>
            <w:vAlign w:val="center"/>
          </w:tcPr>
          <w:p w14:paraId="77CA4FE9">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根据部门需求对可视化平台的首页、项目列表、项目详情展示三级内容全面进行优化调整；新增招引项目类型统计分析、项目六率情况分析、项目产能数据展示、项目产业结构分析、未开工项目前期手续办理情况分析、竣工项目统计实物量分析等统计分析模块；项目列表增加项目预警类型和产业类型；项目详情页面增加项目基本情况说明，增加项目问题反馈列表，增加项目招引阶段流程图信息。</w:t>
            </w:r>
          </w:p>
        </w:tc>
      </w:tr>
      <w:tr w14:paraId="207D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1EA00626">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18</w:t>
            </w:r>
          </w:p>
        </w:tc>
        <w:tc>
          <w:tcPr>
            <w:tcW w:w="1975" w:type="pct"/>
            <w:vMerge w:val="continue"/>
            <w:tcBorders>
              <w:tl2br w:val="nil"/>
              <w:tr2bl w:val="nil"/>
            </w:tcBorders>
            <w:noWrap/>
            <w:vAlign w:val="center"/>
          </w:tcPr>
          <w:p w14:paraId="07B03FF4">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restart"/>
            <w:tcBorders>
              <w:tl2br w:val="nil"/>
              <w:tr2bl w:val="nil"/>
            </w:tcBorders>
            <w:vAlign w:val="center"/>
          </w:tcPr>
          <w:p w14:paraId="550C6CBE">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项目预警升级</w:t>
            </w:r>
          </w:p>
        </w:tc>
        <w:tc>
          <w:tcPr>
            <w:tcW w:w="414" w:type="pct"/>
            <w:tcBorders>
              <w:tl2br w:val="nil"/>
              <w:tr2bl w:val="nil"/>
            </w:tcBorders>
            <w:vAlign w:val="center"/>
          </w:tcPr>
          <w:p w14:paraId="2960EFF3">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预警规则配置</w:t>
            </w:r>
          </w:p>
        </w:tc>
        <w:tc>
          <w:tcPr>
            <w:tcW w:w="1568" w:type="pct"/>
            <w:tcBorders>
              <w:tl2br w:val="nil"/>
              <w:tr2bl w:val="nil"/>
            </w:tcBorders>
            <w:vAlign w:val="center"/>
          </w:tcPr>
          <w:p w14:paraId="533F0283">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新增项目跟进预警、建设推进预警、项目问题预警、风险预评估审核超期预警、工业用地评审超期预警、项目达产达效与承诺值预警6类预警指标，提供相应的预警配置功能，支持自定义触发逻辑，提供启停开关。</w:t>
            </w:r>
          </w:p>
        </w:tc>
      </w:tr>
      <w:tr w14:paraId="37A9F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4F44063D">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19</w:t>
            </w:r>
          </w:p>
        </w:tc>
        <w:tc>
          <w:tcPr>
            <w:tcW w:w="1975" w:type="pct"/>
            <w:vMerge w:val="continue"/>
            <w:tcBorders>
              <w:tl2br w:val="nil"/>
              <w:tr2bl w:val="nil"/>
            </w:tcBorders>
            <w:noWrap/>
            <w:vAlign w:val="center"/>
          </w:tcPr>
          <w:p w14:paraId="37C21ABB">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4132DAA6">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2DD7A8F2">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预警提示新增</w:t>
            </w:r>
          </w:p>
        </w:tc>
        <w:tc>
          <w:tcPr>
            <w:tcW w:w="1568" w:type="pct"/>
            <w:tcBorders>
              <w:tl2br w:val="nil"/>
              <w:tr2bl w:val="nil"/>
            </w:tcBorders>
            <w:vAlign w:val="center"/>
          </w:tcPr>
          <w:p w14:paraId="406D8042">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根据上述6类预警指标项所处阶段，在对应阶段页面上新增预警提示功能，支持预警数显示，支持悬浮查看预警内容。</w:t>
            </w:r>
          </w:p>
        </w:tc>
      </w:tr>
      <w:tr w14:paraId="344FD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5681926F">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20</w:t>
            </w:r>
          </w:p>
        </w:tc>
        <w:tc>
          <w:tcPr>
            <w:tcW w:w="1975" w:type="pct"/>
            <w:vMerge w:val="continue"/>
            <w:tcBorders>
              <w:tl2br w:val="nil"/>
              <w:tr2bl w:val="nil"/>
            </w:tcBorders>
            <w:noWrap/>
            <w:vAlign w:val="center"/>
          </w:tcPr>
          <w:p w14:paraId="2B4A6801">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restart"/>
            <w:tcBorders>
              <w:tl2br w:val="nil"/>
              <w:tr2bl w:val="nil"/>
            </w:tcBorders>
            <w:vAlign w:val="center"/>
          </w:tcPr>
          <w:p w14:paraId="67E7F989">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数字经济企业模块</w:t>
            </w:r>
          </w:p>
        </w:tc>
        <w:tc>
          <w:tcPr>
            <w:tcW w:w="414" w:type="pct"/>
            <w:tcBorders>
              <w:tl2br w:val="nil"/>
              <w:tr2bl w:val="nil"/>
            </w:tcBorders>
            <w:vAlign w:val="center"/>
          </w:tcPr>
          <w:p w14:paraId="207A793B">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数字经济企业库列表</w:t>
            </w:r>
          </w:p>
        </w:tc>
        <w:tc>
          <w:tcPr>
            <w:tcW w:w="1568" w:type="pct"/>
            <w:tcBorders>
              <w:tl2br w:val="nil"/>
              <w:tr2bl w:val="nil"/>
            </w:tcBorders>
            <w:vAlign w:val="center"/>
          </w:tcPr>
          <w:p w14:paraId="667E2414">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提供数字经济企业库列表和数字经济项目管理页面一键切换功能，支持用户访问权限控制；</w:t>
            </w:r>
          </w:p>
        </w:tc>
      </w:tr>
      <w:tr w14:paraId="2B3FE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69EE0E89">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21</w:t>
            </w:r>
          </w:p>
        </w:tc>
        <w:tc>
          <w:tcPr>
            <w:tcW w:w="1975" w:type="pct"/>
            <w:vMerge w:val="continue"/>
            <w:tcBorders>
              <w:tl2br w:val="nil"/>
              <w:tr2bl w:val="nil"/>
            </w:tcBorders>
            <w:noWrap/>
            <w:vAlign w:val="center"/>
          </w:tcPr>
          <w:p w14:paraId="53537E63">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2215047E">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7EC160C8">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数字经济企业配置</w:t>
            </w:r>
          </w:p>
        </w:tc>
        <w:tc>
          <w:tcPr>
            <w:tcW w:w="1568" w:type="pct"/>
            <w:tcBorders>
              <w:tl2br w:val="nil"/>
              <w:tr2bl w:val="nil"/>
            </w:tcBorders>
            <w:vAlign w:val="center"/>
          </w:tcPr>
          <w:p w14:paraId="75A00168">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提供数字经济企业配置管理功能，支持数字经济企业信息的新增和编辑；支持企业信息的多条件检索。</w:t>
            </w:r>
          </w:p>
        </w:tc>
      </w:tr>
      <w:tr w14:paraId="287EF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0637FC44">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22</w:t>
            </w:r>
          </w:p>
        </w:tc>
        <w:tc>
          <w:tcPr>
            <w:tcW w:w="1975" w:type="pct"/>
            <w:vMerge w:val="continue"/>
            <w:tcBorders>
              <w:tl2br w:val="nil"/>
              <w:tr2bl w:val="nil"/>
            </w:tcBorders>
            <w:noWrap/>
            <w:vAlign w:val="center"/>
          </w:tcPr>
          <w:p w14:paraId="025C0F05">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1C98C85C">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1CBC43C9">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数字经济项目库</w:t>
            </w:r>
          </w:p>
        </w:tc>
        <w:tc>
          <w:tcPr>
            <w:tcW w:w="1568" w:type="pct"/>
            <w:tcBorders>
              <w:tl2br w:val="nil"/>
              <w:tr2bl w:val="nil"/>
            </w:tcBorders>
            <w:vAlign w:val="center"/>
          </w:tcPr>
          <w:p w14:paraId="5AA8DBC8">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提供数字经济项目展示功能，支持自动关联匹配数字经济企业信息，匹配成功后项目会自动标记为数字经济项目；支持项目信息的多条件检索。</w:t>
            </w:r>
          </w:p>
        </w:tc>
      </w:tr>
      <w:tr w14:paraId="78572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7CFA50FC">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23</w:t>
            </w:r>
          </w:p>
        </w:tc>
        <w:tc>
          <w:tcPr>
            <w:tcW w:w="1975" w:type="pct"/>
            <w:vMerge w:val="continue"/>
            <w:tcBorders>
              <w:tl2br w:val="nil"/>
              <w:tr2bl w:val="nil"/>
            </w:tcBorders>
            <w:noWrap/>
            <w:vAlign w:val="center"/>
          </w:tcPr>
          <w:p w14:paraId="16746B5B">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vMerge w:val="continue"/>
            <w:tcBorders>
              <w:tl2br w:val="nil"/>
              <w:tr2bl w:val="nil"/>
            </w:tcBorders>
            <w:vAlign w:val="center"/>
          </w:tcPr>
          <w:p w14:paraId="2959B307">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414" w:type="pct"/>
            <w:tcBorders>
              <w:tl2br w:val="nil"/>
              <w:tr2bl w:val="nil"/>
            </w:tcBorders>
            <w:vAlign w:val="center"/>
          </w:tcPr>
          <w:p w14:paraId="7E923A8B">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数字经济企业导出</w:t>
            </w:r>
          </w:p>
        </w:tc>
        <w:tc>
          <w:tcPr>
            <w:tcW w:w="1568" w:type="pct"/>
            <w:tcBorders>
              <w:tl2br w:val="nil"/>
              <w:tr2bl w:val="nil"/>
            </w:tcBorders>
            <w:vAlign w:val="center"/>
          </w:tcPr>
          <w:p w14:paraId="337B0E01">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提供数字经济企业信息和数字经济项目信息的批量导出。</w:t>
            </w:r>
          </w:p>
        </w:tc>
      </w:tr>
      <w:tr w14:paraId="26858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4" w:type="pct"/>
            <w:tcBorders>
              <w:tl2br w:val="nil"/>
              <w:tr2bl w:val="nil"/>
            </w:tcBorders>
            <w:noWrap/>
            <w:vAlign w:val="center"/>
          </w:tcPr>
          <w:p w14:paraId="685D2AC1">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24</w:t>
            </w:r>
          </w:p>
        </w:tc>
        <w:tc>
          <w:tcPr>
            <w:tcW w:w="1975" w:type="pct"/>
            <w:vMerge w:val="continue"/>
            <w:tcBorders>
              <w:tl2br w:val="nil"/>
              <w:tr2bl w:val="nil"/>
            </w:tcBorders>
            <w:noWrap/>
            <w:vAlign w:val="center"/>
          </w:tcPr>
          <w:p w14:paraId="60BE15DB">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6" w:type="pct"/>
            <w:tcBorders>
              <w:tl2br w:val="nil"/>
              <w:tr2bl w:val="nil"/>
            </w:tcBorders>
            <w:vAlign w:val="center"/>
          </w:tcPr>
          <w:p w14:paraId="1D4F4A78">
            <w:pPr>
              <w:keepNext/>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eastAsia"/>
                <w:sz w:val="21"/>
                <w:szCs w:val="21"/>
              </w:rPr>
              <w:t>项目落地评价流程</w:t>
            </w:r>
          </w:p>
        </w:tc>
        <w:tc>
          <w:tcPr>
            <w:tcW w:w="414" w:type="pct"/>
            <w:tcBorders>
              <w:tl2br w:val="nil"/>
              <w:tr2bl w:val="nil"/>
            </w:tcBorders>
            <w:vAlign w:val="center"/>
          </w:tcPr>
          <w:p w14:paraId="790F0916">
            <w:pPr>
              <w:keepNext/>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p>
        </w:tc>
        <w:tc>
          <w:tcPr>
            <w:tcW w:w="1568" w:type="pct"/>
            <w:tcBorders>
              <w:tl2br w:val="nil"/>
              <w:tr2bl w:val="nil"/>
            </w:tcBorders>
            <w:vAlign w:val="center"/>
          </w:tcPr>
          <w:p w14:paraId="79EF66CC">
            <w:pPr>
              <w:keepNext/>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新增项目落地评价环节，根据部门需求制定最新评价考核指标并呈现在评价表单页面，板块发起评价时需要填写评价表单信息，并提交给相关部门审核反馈评审结果，再由审委会和市领导进行终审。</w:t>
            </w:r>
          </w:p>
        </w:tc>
      </w:tr>
    </w:tbl>
    <w:p w14:paraId="65BD8EBD">
      <w:pPr>
        <w:spacing w:line="400" w:lineRule="exact"/>
        <w:ind w:firstLine="0" w:firstLineChars="0"/>
        <w:rPr>
          <w:rFonts w:hint="default" w:eastAsia="宋体"/>
          <w:lang w:val="en-US" w:eastAsia="zh-CN"/>
        </w:rPr>
      </w:pPr>
    </w:p>
    <w:p w14:paraId="5089D1C6">
      <w:pPr>
        <w:pStyle w:val="4"/>
        <w:numPr>
          <w:ilvl w:val="0"/>
          <w:numId w:val="0"/>
        </w:numPr>
        <w:spacing w:line="400" w:lineRule="exact"/>
        <w:ind w:left="567"/>
        <w:rPr>
          <w:rFonts w:hint="eastAsia" w:cs="黑体" w:asciiTheme="minorEastAsia" w:hAnsiTheme="minorEastAsia" w:eastAsiaTheme="minorEastAsia"/>
          <w:sz w:val="24"/>
          <w:szCs w:val="24"/>
        </w:rPr>
      </w:pPr>
      <w:r>
        <w:rPr>
          <w:rFonts w:hint="eastAsia" w:cs="黑体" w:asciiTheme="minorEastAsia" w:hAnsiTheme="minorEastAsia" w:eastAsiaTheme="minorEastAsia"/>
          <w:sz w:val="24"/>
          <w:szCs w:val="24"/>
        </w:rPr>
        <w:t>3.1.</w:t>
      </w:r>
      <w:r>
        <w:rPr>
          <w:rFonts w:hint="eastAsia" w:cs="黑体" w:asciiTheme="minorEastAsia" w:hAnsiTheme="minorEastAsia" w:eastAsiaTheme="minorEastAsia"/>
          <w:sz w:val="24"/>
          <w:szCs w:val="24"/>
          <w:lang w:val="en-US" w:eastAsia="zh-CN"/>
        </w:rPr>
        <w:t>6数据目录服务</w:t>
      </w:r>
      <w:r>
        <w:rPr>
          <w:rFonts w:hint="eastAsia" w:cs="黑体" w:asciiTheme="minorEastAsia" w:hAnsiTheme="minorEastAsia" w:eastAsiaTheme="minorEastAsia"/>
          <w:sz w:val="24"/>
          <w:szCs w:val="24"/>
        </w:rPr>
        <w:t>建设</w:t>
      </w:r>
    </w:p>
    <w:tbl>
      <w:tblPr>
        <w:tblStyle w:val="14"/>
        <w:tblW w:w="8522" w:type="dxa"/>
        <w:jc w:val="center"/>
        <w:tblLayout w:type="autofit"/>
        <w:tblCellMar>
          <w:top w:w="0" w:type="dxa"/>
          <w:left w:w="108" w:type="dxa"/>
          <w:bottom w:w="0" w:type="dxa"/>
          <w:right w:w="108" w:type="dxa"/>
        </w:tblCellMar>
      </w:tblPr>
      <w:tblGrid>
        <w:gridCol w:w="638"/>
        <w:gridCol w:w="1641"/>
        <w:gridCol w:w="668"/>
        <w:gridCol w:w="1716"/>
        <w:gridCol w:w="3859"/>
      </w:tblGrid>
      <w:tr w14:paraId="00DF8F13">
        <w:tblPrEx>
          <w:tblCellMar>
            <w:top w:w="0" w:type="dxa"/>
            <w:left w:w="108" w:type="dxa"/>
            <w:bottom w:w="0" w:type="dxa"/>
            <w:right w:w="108" w:type="dxa"/>
          </w:tblCellMar>
        </w:tblPrEx>
        <w:trPr>
          <w:trHeight w:val="0" w:hRule="atLeast"/>
          <w:tblHeader/>
          <w:jc w:val="center"/>
        </w:trPr>
        <w:tc>
          <w:tcPr>
            <w:tcW w:w="638" w:type="dxa"/>
            <w:tcBorders>
              <w:top w:val="single" w:color="000000" w:sz="4" w:space="0"/>
              <w:left w:val="single" w:color="000000" w:sz="4" w:space="0"/>
              <w:bottom w:val="single" w:color="auto" w:sz="4" w:space="0"/>
              <w:right w:val="single" w:color="000000" w:sz="4" w:space="0"/>
            </w:tcBorders>
            <w:noWrap/>
            <w:vAlign w:val="center"/>
          </w:tcPr>
          <w:p w14:paraId="679C1265">
            <w:pPr>
              <w:keepNext/>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序号</w:t>
            </w:r>
          </w:p>
        </w:tc>
        <w:tc>
          <w:tcPr>
            <w:tcW w:w="1641" w:type="dxa"/>
            <w:tcBorders>
              <w:top w:val="single" w:color="000000" w:sz="4" w:space="0"/>
              <w:left w:val="single" w:color="000000" w:sz="4" w:space="0"/>
              <w:bottom w:val="single" w:color="auto" w:sz="4" w:space="0"/>
              <w:right w:val="single" w:color="000000" w:sz="4" w:space="0"/>
            </w:tcBorders>
            <w:vAlign w:val="center"/>
          </w:tcPr>
          <w:p w14:paraId="22F7F0F0">
            <w:pPr>
              <w:keepNext/>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分项名称</w:t>
            </w:r>
          </w:p>
        </w:tc>
        <w:tc>
          <w:tcPr>
            <w:tcW w:w="668" w:type="dxa"/>
            <w:tcBorders>
              <w:top w:val="single" w:color="000000" w:sz="4" w:space="0"/>
              <w:left w:val="single" w:color="000000" w:sz="4" w:space="0"/>
              <w:bottom w:val="single" w:color="auto" w:sz="4" w:space="0"/>
              <w:right w:val="single" w:color="000000" w:sz="4" w:space="0"/>
            </w:tcBorders>
            <w:vAlign w:val="center"/>
          </w:tcPr>
          <w:p w14:paraId="19756E1D">
            <w:pPr>
              <w:keepNext/>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模块名称</w:t>
            </w:r>
          </w:p>
        </w:tc>
        <w:tc>
          <w:tcPr>
            <w:tcW w:w="1716" w:type="dxa"/>
            <w:tcBorders>
              <w:top w:val="single" w:color="000000" w:sz="4" w:space="0"/>
              <w:left w:val="single" w:color="000000" w:sz="4" w:space="0"/>
              <w:bottom w:val="single" w:color="auto" w:sz="4" w:space="0"/>
              <w:right w:val="single" w:color="000000" w:sz="4" w:space="0"/>
            </w:tcBorders>
            <w:vAlign w:val="center"/>
          </w:tcPr>
          <w:p w14:paraId="6EDC8082">
            <w:pPr>
              <w:keepNext/>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子功能名称</w:t>
            </w:r>
          </w:p>
        </w:tc>
        <w:tc>
          <w:tcPr>
            <w:tcW w:w="3859" w:type="dxa"/>
            <w:tcBorders>
              <w:top w:val="single" w:color="000000" w:sz="4" w:space="0"/>
              <w:left w:val="single" w:color="000000" w:sz="4" w:space="0"/>
              <w:bottom w:val="single" w:color="auto" w:sz="4" w:space="0"/>
              <w:right w:val="single" w:color="000000" w:sz="4" w:space="0"/>
            </w:tcBorders>
            <w:vAlign w:val="center"/>
          </w:tcPr>
          <w:p w14:paraId="1A1905B6">
            <w:pPr>
              <w:keepNext/>
              <w:widowControl/>
              <w:snapToGrid w:val="0"/>
              <w:spacing w:line="240" w:lineRule="auto"/>
              <w:ind w:left="0" w:leftChars="0" w:right="0" w:rightChars="0" w:firstLine="0" w:firstLineChars="0"/>
              <w:jc w:val="center"/>
              <w:textAlignment w:val="center"/>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功能要求</w:t>
            </w:r>
          </w:p>
        </w:tc>
      </w:tr>
      <w:tr w14:paraId="055E38FB">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42E77E08">
            <w:pPr>
              <w:keepNext/>
              <w:widowControl/>
              <w:snapToGrid w:val="0"/>
              <w:spacing w:line="240" w:lineRule="auto"/>
              <w:ind w:left="0" w:leftChars="0" w:right="0" w:rightChars="0"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641" w:type="dxa"/>
            <w:vMerge w:val="restart"/>
            <w:tcBorders>
              <w:top w:val="single" w:color="auto" w:sz="4" w:space="0"/>
              <w:left w:val="single" w:color="000000" w:sz="4" w:space="0"/>
              <w:right w:val="single" w:color="000000" w:sz="4" w:space="0"/>
            </w:tcBorders>
            <w:noWrap/>
            <w:vAlign w:val="center"/>
          </w:tcPr>
          <w:p w14:paraId="3F523B53">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数据目录服务</w:t>
            </w:r>
          </w:p>
        </w:tc>
        <w:tc>
          <w:tcPr>
            <w:tcW w:w="668" w:type="dxa"/>
            <w:vMerge w:val="restart"/>
            <w:tcBorders>
              <w:top w:val="single" w:color="auto" w:sz="4" w:space="0"/>
              <w:left w:val="single" w:color="000000" w:sz="4" w:space="0"/>
              <w:right w:val="single" w:color="000000" w:sz="4" w:space="0"/>
            </w:tcBorders>
            <w:vAlign w:val="center"/>
          </w:tcPr>
          <w:p w14:paraId="7F15A926">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数据目录</w:t>
            </w:r>
          </w:p>
        </w:tc>
        <w:tc>
          <w:tcPr>
            <w:tcW w:w="1716" w:type="dxa"/>
            <w:tcBorders>
              <w:top w:val="single" w:color="auto" w:sz="4" w:space="0"/>
              <w:left w:val="single" w:color="000000" w:sz="4" w:space="0"/>
              <w:bottom w:val="single" w:color="auto" w:sz="4" w:space="0"/>
              <w:right w:val="single" w:color="000000" w:sz="4" w:space="0"/>
            </w:tcBorders>
            <w:vAlign w:val="center"/>
          </w:tcPr>
          <w:p w14:paraId="725D379A">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数据目录管理</w:t>
            </w:r>
          </w:p>
        </w:tc>
        <w:tc>
          <w:tcPr>
            <w:tcW w:w="3859" w:type="dxa"/>
            <w:tcBorders>
              <w:top w:val="single" w:color="auto" w:sz="4" w:space="0"/>
              <w:left w:val="single" w:color="000000" w:sz="4" w:space="0"/>
              <w:bottom w:val="single" w:color="auto" w:sz="4" w:space="0"/>
              <w:right w:val="single" w:color="auto" w:sz="4" w:space="0"/>
            </w:tcBorders>
            <w:vAlign w:val="center"/>
          </w:tcPr>
          <w:p w14:paraId="273A9F2F">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提供全面的目录管理功能，支持目录的新增、编辑、删除；支持目录关联数据库库表信息。</w:t>
            </w:r>
          </w:p>
        </w:tc>
      </w:tr>
      <w:tr w14:paraId="186A2053">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797D5C19">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641" w:type="dxa"/>
            <w:vMerge w:val="continue"/>
            <w:tcBorders>
              <w:left w:val="single" w:color="000000" w:sz="4" w:space="0"/>
              <w:right w:val="single" w:color="000000" w:sz="4" w:space="0"/>
            </w:tcBorders>
            <w:noWrap/>
            <w:vAlign w:val="center"/>
          </w:tcPr>
          <w:p w14:paraId="54BC0B2C">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right w:val="single" w:color="000000" w:sz="4" w:space="0"/>
            </w:tcBorders>
            <w:vAlign w:val="center"/>
          </w:tcPr>
          <w:p w14:paraId="2485C7A6">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7602F651">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数据源管理</w:t>
            </w:r>
          </w:p>
        </w:tc>
        <w:tc>
          <w:tcPr>
            <w:tcW w:w="3859" w:type="dxa"/>
            <w:tcBorders>
              <w:top w:val="single" w:color="auto" w:sz="4" w:space="0"/>
              <w:left w:val="single" w:color="000000" w:sz="4" w:space="0"/>
              <w:bottom w:val="single" w:color="auto" w:sz="4" w:space="0"/>
              <w:right w:val="single" w:color="auto" w:sz="4" w:space="0"/>
            </w:tcBorders>
            <w:vAlign w:val="center"/>
          </w:tcPr>
          <w:p w14:paraId="0B343944">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提供针对不同数据来源渠道的管理功能，支持数据源的新增、编辑、删除。</w:t>
            </w:r>
          </w:p>
        </w:tc>
      </w:tr>
      <w:tr w14:paraId="4F6CC054">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443FD2FA">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641" w:type="dxa"/>
            <w:vMerge w:val="continue"/>
            <w:tcBorders>
              <w:left w:val="single" w:color="000000" w:sz="4" w:space="0"/>
              <w:right w:val="single" w:color="000000" w:sz="4" w:space="0"/>
            </w:tcBorders>
            <w:noWrap/>
            <w:vAlign w:val="center"/>
          </w:tcPr>
          <w:p w14:paraId="0C2F991A">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right w:val="single" w:color="000000" w:sz="4" w:space="0"/>
            </w:tcBorders>
            <w:vAlign w:val="center"/>
          </w:tcPr>
          <w:p w14:paraId="56683A58">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1F0C96F6">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元数据采集</w:t>
            </w:r>
          </w:p>
        </w:tc>
        <w:tc>
          <w:tcPr>
            <w:tcW w:w="3859" w:type="dxa"/>
            <w:tcBorders>
              <w:top w:val="single" w:color="auto" w:sz="4" w:space="0"/>
              <w:left w:val="single" w:color="000000" w:sz="4" w:space="0"/>
              <w:bottom w:val="single" w:color="auto" w:sz="4" w:space="0"/>
              <w:right w:val="single" w:color="auto" w:sz="4" w:space="0"/>
            </w:tcBorders>
            <w:vAlign w:val="center"/>
          </w:tcPr>
          <w:p w14:paraId="393847FE">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提供统一的元数据表存储管理功能，能够对采集的各类元数据进行集中化、结构化存储</w:t>
            </w:r>
            <w:r>
              <w:rPr>
                <w:rFonts w:hint="eastAsia" w:ascii="宋体" w:hAnsi="宋体" w:eastAsia="宋体" w:cs="宋体"/>
                <w:color w:val="000000"/>
                <w:sz w:val="21"/>
                <w:szCs w:val="21"/>
                <w:lang w:val="en-US" w:eastAsia="zh-CN"/>
              </w:rPr>
              <w:t>。</w:t>
            </w:r>
          </w:p>
        </w:tc>
      </w:tr>
      <w:tr w14:paraId="7F0A3195">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55D12991">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641" w:type="dxa"/>
            <w:vMerge w:val="continue"/>
            <w:tcBorders>
              <w:left w:val="single" w:color="000000" w:sz="4" w:space="0"/>
              <w:right w:val="single" w:color="000000" w:sz="4" w:space="0"/>
            </w:tcBorders>
            <w:noWrap/>
            <w:vAlign w:val="center"/>
          </w:tcPr>
          <w:p w14:paraId="5D19D123">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right w:val="single" w:color="000000" w:sz="4" w:space="0"/>
            </w:tcBorders>
            <w:vAlign w:val="center"/>
          </w:tcPr>
          <w:p w14:paraId="531913D5">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4013B392">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元数据版本管理</w:t>
            </w:r>
          </w:p>
        </w:tc>
        <w:tc>
          <w:tcPr>
            <w:tcW w:w="3859" w:type="dxa"/>
            <w:tcBorders>
              <w:top w:val="single" w:color="auto" w:sz="4" w:space="0"/>
              <w:left w:val="single" w:color="000000" w:sz="4" w:space="0"/>
              <w:bottom w:val="single" w:color="auto" w:sz="4" w:space="0"/>
              <w:right w:val="single" w:color="auto" w:sz="4" w:space="0"/>
            </w:tcBorders>
            <w:vAlign w:val="center"/>
          </w:tcPr>
          <w:p w14:paraId="2A89C4E4">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提供元数据的版本管理功能，确保数据一致性和可追溯性。</w:t>
            </w:r>
          </w:p>
        </w:tc>
      </w:tr>
      <w:tr w14:paraId="5CBBFDA2">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520E5C71">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1641" w:type="dxa"/>
            <w:vMerge w:val="continue"/>
            <w:tcBorders>
              <w:left w:val="single" w:color="000000" w:sz="4" w:space="0"/>
              <w:right w:val="single" w:color="000000" w:sz="4" w:space="0"/>
            </w:tcBorders>
            <w:noWrap/>
            <w:vAlign w:val="center"/>
          </w:tcPr>
          <w:p w14:paraId="68871318">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bottom w:val="single" w:color="auto" w:sz="4" w:space="0"/>
              <w:right w:val="single" w:color="000000" w:sz="4" w:space="0"/>
            </w:tcBorders>
            <w:vAlign w:val="center"/>
          </w:tcPr>
          <w:p w14:paraId="03E6E4DF">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11461E3F">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元数据分析</w:t>
            </w:r>
          </w:p>
        </w:tc>
        <w:tc>
          <w:tcPr>
            <w:tcW w:w="3859" w:type="dxa"/>
            <w:tcBorders>
              <w:top w:val="single" w:color="auto" w:sz="4" w:space="0"/>
              <w:left w:val="single" w:color="000000" w:sz="4" w:space="0"/>
              <w:bottom w:val="single" w:color="auto" w:sz="4" w:space="0"/>
              <w:right w:val="single" w:color="auto" w:sz="4" w:space="0"/>
            </w:tcBorders>
            <w:vAlign w:val="center"/>
          </w:tcPr>
          <w:p w14:paraId="5462EB6A">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提供自动化构建结构化数据目录的功能，整合数据名称、存储位置、字段含义等元数据，支持按关键词、业务域等多维度检索；提供可视化数据血缘追踪功能，展示数据从源系统抽取、清洗到加载的完整流转链路；实现技术元数据与业务元数据的语义映射；同时支持数据资产化管理，记录数据负责人、访问权限、使用频率等属性</w:t>
            </w:r>
            <w:r>
              <w:rPr>
                <w:rFonts w:hint="eastAsia" w:ascii="宋体" w:hAnsi="宋体" w:eastAsia="宋体" w:cs="宋体"/>
                <w:color w:val="000000"/>
                <w:sz w:val="21"/>
                <w:szCs w:val="21"/>
                <w:lang w:val="en-US" w:eastAsia="zh-CN"/>
              </w:rPr>
              <w:t>。</w:t>
            </w:r>
          </w:p>
        </w:tc>
      </w:tr>
      <w:tr w14:paraId="25DDD0B8">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02830281">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1641" w:type="dxa"/>
            <w:vMerge w:val="continue"/>
            <w:tcBorders>
              <w:left w:val="single" w:color="000000" w:sz="4" w:space="0"/>
              <w:right w:val="single" w:color="000000" w:sz="4" w:space="0"/>
            </w:tcBorders>
            <w:noWrap/>
            <w:vAlign w:val="center"/>
          </w:tcPr>
          <w:p w14:paraId="4D63CADD">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restart"/>
            <w:tcBorders>
              <w:top w:val="single" w:color="auto" w:sz="4" w:space="0"/>
              <w:left w:val="single" w:color="000000" w:sz="4" w:space="0"/>
              <w:right w:val="single" w:color="000000" w:sz="4" w:space="0"/>
            </w:tcBorders>
            <w:vAlign w:val="center"/>
          </w:tcPr>
          <w:p w14:paraId="3769565D">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eastAsia="宋体"/>
                <w:sz w:val="21"/>
              </w:rPr>
              <w:t>数据处理系统</w:t>
            </w:r>
          </w:p>
        </w:tc>
        <w:tc>
          <w:tcPr>
            <w:tcW w:w="1716" w:type="dxa"/>
            <w:tcBorders>
              <w:top w:val="single" w:color="auto" w:sz="4" w:space="0"/>
              <w:left w:val="single" w:color="000000" w:sz="4" w:space="0"/>
              <w:bottom w:val="single" w:color="auto" w:sz="4" w:space="0"/>
              <w:right w:val="single" w:color="000000" w:sz="4" w:space="0"/>
            </w:tcBorders>
            <w:vAlign w:val="center"/>
          </w:tcPr>
          <w:p w14:paraId="7B9F0082">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任务分类</w:t>
            </w:r>
          </w:p>
        </w:tc>
        <w:tc>
          <w:tcPr>
            <w:tcW w:w="3859" w:type="dxa"/>
            <w:tcBorders>
              <w:top w:val="single" w:color="auto" w:sz="4" w:space="0"/>
              <w:left w:val="single" w:color="000000" w:sz="4" w:space="0"/>
              <w:bottom w:val="single" w:color="auto" w:sz="4" w:space="0"/>
              <w:right w:val="single" w:color="auto" w:sz="4" w:space="0"/>
            </w:tcBorders>
            <w:vAlign w:val="center"/>
          </w:tcPr>
          <w:p w14:paraId="288BEFC8">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提供按任务类型分类管理功能，任务类型分为数据导入任务、数据转换任务、数据校验任务等。</w:t>
            </w:r>
          </w:p>
        </w:tc>
      </w:tr>
      <w:tr w14:paraId="0553A948">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1A14483D">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1641" w:type="dxa"/>
            <w:vMerge w:val="continue"/>
            <w:tcBorders>
              <w:left w:val="single" w:color="000000" w:sz="4" w:space="0"/>
              <w:right w:val="single" w:color="000000" w:sz="4" w:space="0"/>
            </w:tcBorders>
            <w:noWrap/>
            <w:vAlign w:val="center"/>
          </w:tcPr>
          <w:p w14:paraId="2119497C">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right w:val="single" w:color="000000" w:sz="4" w:space="0"/>
            </w:tcBorders>
            <w:vAlign w:val="center"/>
          </w:tcPr>
          <w:p w14:paraId="17F411F7">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22CF7C0F">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任务管理</w:t>
            </w:r>
          </w:p>
        </w:tc>
        <w:tc>
          <w:tcPr>
            <w:tcW w:w="3859" w:type="dxa"/>
            <w:tcBorders>
              <w:top w:val="single" w:color="auto" w:sz="4" w:space="0"/>
              <w:left w:val="single" w:color="000000" w:sz="4" w:space="0"/>
              <w:bottom w:val="single" w:color="auto" w:sz="4" w:space="0"/>
              <w:right w:val="single" w:color="auto" w:sz="4" w:space="0"/>
            </w:tcBorders>
            <w:vAlign w:val="center"/>
          </w:tcPr>
          <w:p w14:paraId="31781959">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提供任务信息录入和管理功能，支持手动创建任务，支持执行参数和触发条件的自定义设置。</w:t>
            </w:r>
          </w:p>
        </w:tc>
      </w:tr>
      <w:tr w14:paraId="7C96257E">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547B4666">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1641" w:type="dxa"/>
            <w:vMerge w:val="continue"/>
            <w:tcBorders>
              <w:left w:val="single" w:color="000000" w:sz="4" w:space="0"/>
              <w:right w:val="single" w:color="000000" w:sz="4" w:space="0"/>
            </w:tcBorders>
            <w:noWrap/>
            <w:vAlign w:val="center"/>
          </w:tcPr>
          <w:p w14:paraId="5404D0E1">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right w:val="single" w:color="000000" w:sz="4" w:space="0"/>
            </w:tcBorders>
            <w:vAlign w:val="center"/>
          </w:tcPr>
          <w:p w14:paraId="6C6A86D8">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108E26ED">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任务创建</w:t>
            </w:r>
          </w:p>
        </w:tc>
        <w:tc>
          <w:tcPr>
            <w:tcW w:w="3859" w:type="dxa"/>
            <w:tcBorders>
              <w:top w:val="single" w:color="auto" w:sz="4" w:space="0"/>
              <w:left w:val="single" w:color="000000" w:sz="4" w:space="0"/>
              <w:bottom w:val="single" w:color="auto" w:sz="4" w:space="0"/>
              <w:right w:val="single" w:color="auto" w:sz="4" w:space="0"/>
            </w:tcBorders>
            <w:vAlign w:val="center"/>
          </w:tcPr>
          <w:p w14:paraId="13FC75FB">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提供数据处理任务创建和执行功能。</w:t>
            </w:r>
          </w:p>
        </w:tc>
      </w:tr>
      <w:tr w14:paraId="129F3310">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7C3B3BF5">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1641" w:type="dxa"/>
            <w:vMerge w:val="continue"/>
            <w:tcBorders>
              <w:left w:val="single" w:color="000000" w:sz="4" w:space="0"/>
              <w:right w:val="single" w:color="000000" w:sz="4" w:space="0"/>
            </w:tcBorders>
            <w:noWrap/>
            <w:vAlign w:val="center"/>
          </w:tcPr>
          <w:p w14:paraId="7A4482ED">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bottom w:val="single" w:color="auto" w:sz="4" w:space="0"/>
              <w:right w:val="single" w:color="000000" w:sz="4" w:space="0"/>
            </w:tcBorders>
            <w:vAlign w:val="center"/>
          </w:tcPr>
          <w:p w14:paraId="30DB15DF">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190C974E">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监控统计</w:t>
            </w:r>
          </w:p>
        </w:tc>
        <w:tc>
          <w:tcPr>
            <w:tcW w:w="3859" w:type="dxa"/>
            <w:tcBorders>
              <w:top w:val="single" w:color="auto" w:sz="4" w:space="0"/>
              <w:left w:val="single" w:color="000000" w:sz="4" w:space="0"/>
              <w:bottom w:val="single" w:color="auto" w:sz="4" w:space="0"/>
              <w:right w:val="single" w:color="auto" w:sz="4" w:space="0"/>
            </w:tcBorders>
            <w:vAlign w:val="center"/>
          </w:tcPr>
          <w:p w14:paraId="362CE4D0">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提供数据处理日志记录功能，可通过查看日志分析数据处理情况。</w:t>
            </w:r>
          </w:p>
        </w:tc>
      </w:tr>
      <w:tr w14:paraId="211C3CAA">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66CFB8AD">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1641" w:type="dxa"/>
            <w:vMerge w:val="continue"/>
            <w:tcBorders>
              <w:left w:val="single" w:color="000000" w:sz="4" w:space="0"/>
              <w:right w:val="single" w:color="000000" w:sz="4" w:space="0"/>
            </w:tcBorders>
            <w:noWrap/>
            <w:vAlign w:val="center"/>
          </w:tcPr>
          <w:p w14:paraId="0305C8C2">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restart"/>
            <w:tcBorders>
              <w:top w:val="single" w:color="auto" w:sz="4" w:space="0"/>
              <w:left w:val="single" w:color="000000" w:sz="4" w:space="0"/>
              <w:right w:val="single" w:color="000000" w:sz="4" w:space="0"/>
            </w:tcBorders>
            <w:vAlign w:val="center"/>
          </w:tcPr>
          <w:p w14:paraId="6A1CB416">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质量监测系统</w:t>
            </w:r>
          </w:p>
        </w:tc>
        <w:tc>
          <w:tcPr>
            <w:tcW w:w="1716" w:type="dxa"/>
            <w:tcBorders>
              <w:top w:val="single" w:color="auto" w:sz="4" w:space="0"/>
              <w:left w:val="single" w:color="000000" w:sz="4" w:space="0"/>
              <w:bottom w:val="single" w:color="auto" w:sz="4" w:space="0"/>
              <w:right w:val="single" w:color="000000" w:sz="4" w:space="0"/>
            </w:tcBorders>
            <w:vAlign w:val="center"/>
          </w:tcPr>
          <w:p w14:paraId="73CE09DE">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规则管理</w:t>
            </w:r>
          </w:p>
        </w:tc>
        <w:tc>
          <w:tcPr>
            <w:tcW w:w="3859" w:type="dxa"/>
            <w:tcBorders>
              <w:top w:val="single" w:color="auto" w:sz="4" w:space="0"/>
              <w:left w:val="single" w:color="000000" w:sz="4" w:space="0"/>
              <w:bottom w:val="single" w:color="auto" w:sz="4" w:space="0"/>
              <w:right w:val="single" w:color="auto" w:sz="4" w:space="0"/>
            </w:tcBorders>
            <w:vAlign w:val="center"/>
          </w:tcPr>
          <w:p w14:paraId="738C04E4">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制定数据质量相关规则，并应用于日常数据质量检测管理工作。</w:t>
            </w:r>
          </w:p>
        </w:tc>
      </w:tr>
      <w:tr w14:paraId="03A96C9B">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40C0EB2D">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w:t>
            </w:r>
          </w:p>
        </w:tc>
        <w:tc>
          <w:tcPr>
            <w:tcW w:w="1641" w:type="dxa"/>
            <w:vMerge w:val="continue"/>
            <w:tcBorders>
              <w:left w:val="single" w:color="000000" w:sz="4" w:space="0"/>
              <w:right w:val="single" w:color="000000" w:sz="4" w:space="0"/>
            </w:tcBorders>
            <w:noWrap/>
            <w:vAlign w:val="center"/>
          </w:tcPr>
          <w:p w14:paraId="186CB9F6">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right w:val="single" w:color="000000" w:sz="4" w:space="0"/>
            </w:tcBorders>
            <w:vAlign w:val="center"/>
          </w:tcPr>
          <w:p w14:paraId="3B6B17E7">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26A5A40F">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质量模型</w:t>
            </w:r>
          </w:p>
        </w:tc>
        <w:tc>
          <w:tcPr>
            <w:tcW w:w="3859" w:type="dxa"/>
            <w:tcBorders>
              <w:top w:val="single" w:color="auto" w:sz="4" w:space="0"/>
              <w:left w:val="single" w:color="000000" w:sz="4" w:space="0"/>
              <w:bottom w:val="single" w:color="auto" w:sz="4" w:space="0"/>
              <w:right w:val="single" w:color="auto" w:sz="4" w:space="0"/>
            </w:tcBorders>
            <w:vAlign w:val="center"/>
          </w:tcPr>
          <w:p w14:paraId="6A4E10CE">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为数据质量检测构建全面可靠的数据质量评估模型，制定数据质量标准。</w:t>
            </w:r>
          </w:p>
        </w:tc>
      </w:tr>
      <w:tr w14:paraId="3FE5D330">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222A00EF">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w:t>
            </w:r>
          </w:p>
        </w:tc>
        <w:tc>
          <w:tcPr>
            <w:tcW w:w="1641" w:type="dxa"/>
            <w:vMerge w:val="continue"/>
            <w:tcBorders>
              <w:left w:val="single" w:color="000000" w:sz="4" w:space="0"/>
              <w:right w:val="single" w:color="000000" w:sz="4" w:space="0"/>
            </w:tcBorders>
            <w:noWrap/>
            <w:vAlign w:val="center"/>
          </w:tcPr>
          <w:p w14:paraId="473656B4">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right w:val="single" w:color="000000" w:sz="4" w:space="0"/>
            </w:tcBorders>
            <w:vAlign w:val="center"/>
          </w:tcPr>
          <w:p w14:paraId="09EDAC4A">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3BD1F0D0">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质量检核</w:t>
            </w:r>
          </w:p>
        </w:tc>
        <w:tc>
          <w:tcPr>
            <w:tcW w:w="3859" w:type="dxa"/>
            <w:tcBorders>
              <w:top w:val="single" w:color="auto" w:sz="4" w:space="0"/>
              <w:left w:val="single" w:color="000000" w:sz="4" w:space="0"/>
              <w:bottom w:val="single" w:color="auto" w:sz="4" w:space="0"/>
              <w:right w:val="single" w:color="auto" w:sz="4" w:space="0"/>
            </w:tcBorders>
            <w:vAlign w:val="center"/>
          </w:tcPr>
          <w:p w14:paraId="095ECBFC">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根据质量模型标准检查核验数据是否达标，并记录质检结果数据供追溯对比。</w:t>
            </w:r>
          </w:p>
        </w:tc>
      </w:tr>
      <w:tr w14:paraId="4B469507">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4DF09497">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w:t>
            </w:r>
          </w:p>
        </w:tc>
        <w:tc>
          <w:tcPr>
            <w:tcW w:w="1641" w:type="dxa"/>
            <w:vMerge w:val="continue"/>
            <w:tcBorders>
              <w:left w:val="single" w:color="000000" w:sz="4" w:space="0"/>
              <w:right w:val="single" w:color="000000" w:sz="4" w:space="0"/>
            </w:tcBorders>
            <w:noWrap/>
            <w:vAlign w:val="center"/>
          </w:tcPr>
          <w:p w14:paraId="509A859D">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bottom w:val="single" w:color="auto" w:sz="4" w:space="0"/>
              <w:right w:val="single" w:color="000000" w:sz="4" w:space="0"/>
            </w:tcBorders>
            <w:vAlign w:val="center"/>
          </w:tcPr>
          <w:p w14:paraId="59873147">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05F8661B">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质量监控</w:t>
            </w:r>
          </w:p>
        </w:tc>
        <w:tc>
          <w:tcPr>
            <w:tcW w:w="3859" w:type="dxa"/>
            <w:tcBorders>
              <w:top w:val="single" w:color="auto" w:sz="4" w:space="0"/>
              <w:left w:val="single" w:color="000000" w:sz="4" w:space="0"/>
              <w:bottom w:val="single" w:color="auto" w:sz="4" w:space="0"/>
              <w:right w:val="single" w:color="auto" w:sz="4" w:space="0"/>
            </w:tcBorders>
            <w:vAlign w:val="center"/>
          </w:tcPr>
          <w:p w14:paraId="407B3798">
            <w:pPr>
              <w:keepNext/>
              <w:widowControl/>
              <w:snapToGrid w:val="0"/>
              <w:spacing w:line="240" w:lineRule="auto"/>
              <w:ind w:left="0" w:leftChars="0" w:right="0" w:rightChars="0" w:firstLine="0" w:firstLineChars="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提供实时监控数据质量状态功能，可直观看到各数据质量状态。</w:t>
            </w:r>
          </w:p>
        </w:tc>
      </w:tr>
      <w:tr w14:paraId="44CAEE4D">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7918300E">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14</w:t>
            </w:r>
          </w:p>
        </w:tc>
        <w:tc>
          <w:tcPr>
            <w:tcW w:w="1641" w:type="dxa"/>
            <w:vMerge w:val="continue"/>
            <w:tcBorders>
              <w:left w:val="single" w:color="000000" w:sz="4" w:space="0"/>
              <w:right w:val="single" w:color="000000" w:sz="4" w:space="0"/>
            </w:tcBorders>
            <w:noWrap/>
            <w:vAlign w:val="center"/>
          </w:tcPr>
          <w:p w14:paraId="1C1C9FAC">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restart"/>
            <w:tcBorders>
              <w:top w:val="single" w:color="auto" w:sz="4" w:space="0"/>
              <w:left w:val="single" w:color="000000" w:sz="4" w:space="0"/>
              <w:right w:val="single" w:color="000000" w:sz="4" w:space="0"/>
            </w:tcBorders>
            <w:vAlign w:val="center"/>
          </w:tcPr>
          <w:p w14:paraId="0FC113DA">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数据标准管理系统</w:t>
            </w:r>
          </w:p>
        </w:tc>
        <w:tc>
          <w:tcPr>
            <w:tcW w:w="1716" w:type="dxa"/>
            <w:tcBorders>
              <w:top w:val="single" w:color="auto" w:sz="4" w:space="0"/>
              <w:left w:val="single" w:color="000000" w:sz="4" w:space="0"/>
              <w:bottom w:val="single" w:color="auto" w:sz="4" w:space="0"/>
              <w:right w:val="single" w:color="000000" w:sz="4" w:space="0"/>
            </w:tcBorders>
            <w:vAlign w:val="center"/>
          </w:tcPr>
          <w:p w14:paraId="49F9E1A4">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标准规范管理</w:t>
            </w:r>
          </w:p>
        </w:tc>
        <w:tc>
          <w:tcPr>
            <w:tcW w:w="3859" w:type="dxa"/>
            <w:tcBorders>
              <w:top w:val="single" w:color="auto" w:sz="4" w:space="0"/>
              <w:left w:val="single" w:color="000000" w:sz="4" w:space="0"/>
              <w:bottom w:val="single" w:color="auto" w:sz="4" w:space="0"/>
              <w:right w:val="single" w:color="auto" w:sz="4" w:space="0"/>
            </w:tcBorders>
            <w:vAlign w:val="center"/>
          </w:tcPr>
          <w:p w14:paraId="643056AD">
            <w:pPr>
              <w:keepNext/>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制定和管理数据相关标准和规范。</w:t>
            </w:r>
          </w:p>
        </w:tc>
      </w:tr>
      <w:tr w14:paraId="55C38F0C">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2462AA9F">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w:t>
            </w:r>
          </w:p>
        </w:tc>
        <w:tc>
          <w:tcPr>
            <w:tcW w:w="1641" w:type="dxa"/>
            <w:vMerge w:val="continue"/>
            <w:tcBorders>
              <w:left w:val="single" w:color="000000" w:sz="4" w:space="0"/>
              <w:right w:val="single" w:color="000000" w:sz="4" w:space="0"/>
            </w:tcBorders>
            <w:noWrap/>
            <w:vAlign w:val="center"/>
          </w:tcPr>
          <w:p w14:paraId="2BCC0877">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bottom w:val="single" w:color="auto" w:sz="4" w:space="0"/>
              <w:right w:val="single" w:color="000000" w:sz="4" w:space="0"/>
            </w:tcBorders>
            <w:vAlign w:val="center"/>
          </w:tcPr>
          <w:p w14:paraId="16620CBA">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070FD00F">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数据集管理</w:t>
            </w:r>
          </w:p>
        </w:tc>
        <w:tc>
          <w:tcPr>
            <w:tcW w:w="3859" w:type="dxa"/>
            <w:tcBorders>
              <w:top w:val="single" w:color="auto" w:sz="4" w:space="0"/>
              <w:left w:val="single" w:color="000000" w:sz="4" w:space="0"/>
              <w:bottom w:val="single" w:color="auto" w:sz="4" w:space="0"/>
              <w:right w:val="single" w:color="auto" w:sz="4" w:space="0"/>
            </w:tcBorders>
            <w:vAlign w:val="center"/>
          </w:tcPr>
          <w:p w14:paraId="0084AD7E">
            <w:pPr>
              <w:keepNext/>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提供数据集日常管理操作功能，包括新增、编辑和删除。</w:t>
            </w:r>
          </w:p>
        </w:tc>
      </w:tr>
      <w:tr w14:paraId="063D1B75">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4A148908">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16</w:t>
            </w:r>
          </w:p>
        </w:tc>
        <w:tc>
          <w:tcPr>
            <w:tcW w:w="1641" w:type="dxa"/>
            <w:vMerge w:val="continue"/>
            <w:tcBorders>
              <w:left w:val="single" w:color="000000" w:sz="4" w:space="0"/>
              <w:right w:val="single" w:color="000000" w:sz="4" w:space="0"/>
            </w:tcBorders>
            <w:noWrap/>
            <w:vAlign w:val="center"/>
          </w:tcPr>
          <w:p w14:paraId="5F3F4464">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restart"/>
            <w:tcBorders>
              <w:top w:val="single" w:color="auto" w:sz="4" w:space="0"/>
              <w:left w:val="single" w:color="000000" w:sz="4" w:space="0"/>
              <w:right w:val="single" w:color="000000" w:sz="4" w:space="0"/>
            </w:tcBorders>
            <w:vAlign w:val="center"/>
          </w:tcPr>
          <w:p w14:paraId="7D975D9A">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数据上报</w:t>
            </w:r>
          </w:p>
        </w:tc>
        <w:tc>
          <w:tcPr>
            <w:tcW w:w="1716" w:type="dxa"/>
            <w:tcBorders>
              <w:top w:val="single" w:color="auto" w:sz="4" w:space="0"/>
              <w:left w:val="single" w:color="000000" w:sz="4" w:space="0"/>
              <w:bottom w:val="single" w:color="auto" w:sz="4" w:space="0"/>
              <w:right w:val="single" w:color="000000" w:sz="4" w:space="0"/>
            </w:tcBorders>
            <w:vAlign w:val="center"/>
          </w:tcPr>
          <w:p w14:paraId="118649FA">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数据模板管理</w:t>
            </w:r>
          </w:p>
        </w:tc>
        <w:tc>
          <w:tcPr>
            <w:tcW w:w="3859" w:type="dxa"/>
            <w:tcBorders>
              <w:top w:val="single" w:color="auto" w:sz="4" w:space="0"/>
              <w:left w:val="single" w:color="000000" w:sz="4" w:space="0"/>
              <w:bottom w:val="single" w:color="auto" w:sz="4" w:space="0"/>
              <w:right w:val="single" w:color="auto" w:sz="4" w:space="0"/>
            </w:tcBorders>
            <w:vAlign w:val="center"/>
          </w:tcPr>
          <w:p w14:paraId="3EC760AD">
            <w:pPr>
              <w:keepNext/>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提供数据上报模板的创建、编辑、维护等功能，确保数据格式的规范性和一致性。</w:t>
            </w:r>
          </w:p>
        </w:tc>
      </w:tr>
      <w:tr w14:paraId="31A71D1D">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70712AC2">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17</w:t>
            </w:r>
          </w:p>
        </w:tc>
        <w:tc>
          <w:tcPr>
            <w:tcW w:w="1641" w:type="dxa"/>
            <w:vMerge w:val="continue"/>
            <w:tcBorders>
              <w:left w:val="single" w:color="000000" w:sz="4" w:space="0"/>
              <w:right w:val="single" w:color="000000" w:sz="4" w:space="0"/>
            </w:tcBorders>
            <w:noWrap/>
            <w:vAlign w:val="center"/>
          </w:tcPr>
          <w:p w14:paraId="5BD4D0E4">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right w:val="single" w:color="000000" w:sz="4" w:space="0"/>
            </w:tcBorders>
            <w:vAlign w:val="center"/>
          </w:tcPr>
          <w:p w14:paraId="0EEE2177">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75216FD5">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数据导入模块</w:t>
            </w:r>
          </w:p>
        </w:tc>
        <w:tc>
          <w:tcPr>
            <w:tcW w:w="3859" w:type="dxa"/>
            <w:tcBorders>
              <w:top w:val="single" w:color="auto" w:sz="4" w:space="0"/>
              <w:left w:val="single" w:color="000000" w:sz="4" w:space="0"/>
              <w:bottom w:val="single" w:color="auto" w:sz="4" w:space="0"/>
              <w:right w:val="single" w:color="auto" w:sz="4" w:space="0"/>
            </w:tcBorders>
            <w:vAlign w:val="center"/>
          </w:tcPr>
          <w:p w14:paraId="43E38DA6">
            <w:pPr>
              <w:keepNext/>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针对部门不同提供对应数据导入模板，提供数据校验功能，用户可以下载模板填写数据后导入数据至系统。</w:t>
            </w:r>
          </w:p>
        </w:tc>
      </w:tr>
      <w:tr w14:paraId="06AFC415">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000000" w:sz="4" w:space="0"/>
            </w:tcBorders>
            <w:noWrap/>
            <w:vAlign w:val="center"/>
          </w:tcPr>
          <w:p w14:paraId="0387C140">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18</w:t>
            </w:r>
          </w:p>
        </w:tc>
        <w:tc>
          <w:tcPr>
            <w:tcW w:w="1641" w:type="dxa"/>
            <w:vMerge w:val="continue"/>
            <w:tcBorders>
              <w:left w:val="single" w:color="000000" w:sz="4" w:space="0"/>
              <w:bottom w:val="single" w:color="auto" w:sz="4" w:space="0"/>
              <w:right w:val="single" w:color="000000" w:sz="4" w:space="0"/>
            </w:tcBorders>
            <w:noWrap/>
            <w:vAlign w:val="center"/>
          </w:tcPr>
          <w:p w14:paraId="6650E549">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668" w:type="dxa"/>
            <w:vMerge w:val="continue"/>
            <w:tcBorders>
              <w:left w:val="single" w:color="000000" w:sz="4" w:space="0"/>
              <w:bottom w:val="single" w:color="auto" w:sz="4" w:space="0"/>
              <w:right w:val="single" w:color="000000" w:sz="4" w:space="0"/>
            </w:tcBorders>
            <w:vAlign w:val="center"/>
          </w:tcPr>
          <w:p w14:paraId="706F07A9">
            <w:pPr>
              <w:keepNext/>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p>
        </w:tc>
        <w:tc>
          <w:tcPr>
            <w:tcW w:w="1716" w:type="dxa"/>
            <w:tcBorders>
              <w:top w:val="single" w:color="auto" w:sz="4" w:space="0"/>
              <w:left w:val="single" w:color="000000" w:sz="4" w:space="0"/>
              <w:bottom w:val="single" w:color="auto" w:sz="4" w:space="0"/>
              <w:right w:val="single" w:color="000000" w:sz="4" w:space="0"/>
            </w:tcBorders>
            <w:vAlign w:val="center"/>
          </w:tcPr>
          <w:p w14:paraId="3CBBAC12">
            <w:pPr>
              <w:keepNext/>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数据修正</w:t>
            </w:r>
          </w:p>
        </w:tc>
        <w:tc>
          <w:tcPr>
            <w:tcW w:w="3859" w:type="dxa"/>
            <w:tcBorders>
              <w:top w:val="single" w:color="auto" w:sz="4" w:space="0"/>
              <w:left w:val="single" w:color="000000" w:sz="4" w:space="0"/>
              <w:bottom w:val="single" w:color="auto" w:sz="4" w:space="0"/>
              <w:right w:val="single" w:color="auto" w:sz="4" w:space="0"/>
            </w:tcBorders>
            <w:vAlign w:val="center"/>
          </w:tcPr>
          <w:p w14:paraId="7EE55476">
            <w:pPr>
              <w:keepNext/>
              <w:widowControl/>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允许用户对已上报但存在错误或需要更新的数据进行修改和完善，保证数据的准确性。</w:t>
            </w:r>
          </w:p>
        </w:tc>
      </w:tr>
    </w:tbl>
    <w:p w14:paraId="23CD16F4">
      <w:pPr>
        <w:rPr>
          <w:rFonts w:hint="eastAsia" w:eastAsia="宋体"/>
          <w:lang w:val="en-US" w:eastAsia="zh-CN"/>
        </w:rPr>
      </w:pPr>
    </w:p>
    <w:p w14:paraId="49C5832A">
      <w:pPr>
        <w:pStyle w:val="4"/>
        <w:numPr>
          <w:ilvl w:val="0"/>
          <w:numId w:val="0"/>
        </w:numPr>
        <w:spacing w:line="400" w:lineRule="exact"/>
        <w:ind w:left="567"/>
        <w:rPr>
          <w:rFonts w:hint="eastAsia" w:cs="黑体" w:asciiTheme="minorEastAsia" w:hAnsiTheme="minorEastAsia" w:eastAsiaTheme="minorEastAsia"/>
          <w:sz w:val="24"/>
          <w:szCs w:val="24"/>
        </w:rPr>
      </w:pPr>
      <w:r>
        <w:rPr>
          <w:rFonts w:hint="eastAsia" w:cs="黑体" w:asciiTheme="minorEastAsia" w:hAnsiTheme="minorEastAsia" w:eastAsiaTheme="minorEastAsia"/>
          <w:sz w:val="24"/>
          <w:szCs w:val="24"/>
        </w:rPr>
        <w:t>3.1.</w:t>
      </w:r>
      <w:r>
        <w:rPr>
          <w:rFonts w:hint="eastAsia" w:cs="黑体" w:asciiTheme="minorEastAsia" w:hAnsiTheme="minorEastAsia" w:eastAsiaTheme="minorEastAsia"/>
          <w:sz w:val="24"/>
          <w:szCs w:val="24"/>
          <w:lang w:val="en-US" w:eastAsia="zh-CN"/>
        </w:rPr>
        <w:t>7数据安全网关服务</w:t>
      </w:r>
      <w:r>
        <w:rPr>
          <w:rFonts w:hint="eastAsia" w:cs="黑体" w:asciiTheme="minorEastAsia" w:hAnsiTheme="minorEastAsia" w:eastAsiaTheme="minorEastAsia"/>
          <w:sz w:val="24"/>
          <w:szCs w:val="24"/>
        </w:rPr>
        <w:t>建设</w:t>
      </w:r>
    </w:p>
    <w:tbl>
      <w:tblPr>
        <w:tblStyle w:val="14"/>
        <w:tblW w:w="8642" w:type="dxa"/>
        <w:jc w:val="center"/>
        <w:tblLayout w:type="autofit"/>
        <w:tblCellMar>
          <w:top w:w="0" w:type="dxa"/>
          <w:left w:w="108" w:type="dxa"/>
          <w:bottom w:w="0" w:type="dxa"/>
          <w:right w:w="108" w:type="dxa"/>
        </w:tblCellMar>
      </w:tblPr>
      <w:tblGrid>
        <w:gridCol w:w="638"/>
        <w:gridCol w:w="1896"/>
        <w:gridCol w:w="1296"/>
        <w:gridCol w:w="1596"/>
        <w:gridCol w:w="3216"/>
      </w:tblGrid>
      <w:tr w14:paraId="274E1FBD">
        <w:tblPrEx>
          <w:tblCellMar>
            <w:top w:w="0" w:type="dxa"/>
            <w:left w:w="108" w:type="dxa"/>
            <w:bottom w:w="0" w:type="dxa"/>
            <w:right w:w="108" w:type="dxa"/>
          </w:tblCellMar>
        </w:tblPrEx>
        <w:trPr>
          <w:trHeight w:val="0" w:hRule="atLeast"/>
          <w:tblHeader/>
          <w:jc w:val="center"/>
        </w:trPr>
        <w:tc>
          <w:tcPr>
            <w:tcW w:w="638" w:type="dxa"/>
            <w:tcBorders>
              <w:top w:val="single" w:color="000000" w:sz="4" w:space="0"/>
              <w:left w:val="single" w:color="000000" w:sz="4" w:space="0"/>
              <w:bottom w:val="single" w:color="auto" w:sz="4" w:space="0"/>
              <w:right w:val="single" w:color="000000" w:sz="4" w:space="0"/>
            </w:tcBorders>
            <w:noWrap/>
            <w:vAlign w:val="center"/>
          </w:tcPr>
          <w:p w14:paraId="160884F2">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序号</w:t>
            </w:r>
          </w:p>
        </w:tc>
        <w:tc>
          <w:tcPr>
            <w:tcW w:w="1896" w:type="dxa"/>
            <w:tcBorders>
              <w:top w:val="single" w:color="000000" w:sz="4" w:space="0"/>
              <w:left w:val="single" w:color="000000" w:sz="4" w:space="0"/>
              <w:bottom w:val="single" w:color="auto" w:sz="4" w:space="0"/>
              <w:right w:val="single" w:color="000000" w:sz="4" w:space="0"/>
            </w:tcBorders>
            <w:vAlign w:val="center"/>
          </w:tcPr>
          <w:p w14:paraId="6BD69FBB">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分项名称</w:t>
            </w:r>
          </w:p>
        </w:tc>
        <w:tc>
          <w:tcPr>
            <w:tcW w:w="1296" w:type="dxa"/>
            <w:tcBorders>
              <w:top w:val="single" w:color="000000" w:sz="4" w:space="0"/>
              <w:left w:val="single" w:color="000000" w:sz="4" w:space="0"/>
              <w:bottom w:val="single" w:color="auto" w:sz="4" w:space="0"/>
              <w:right w:val="single" w:color="000000" w:sz="4" w:space="0"/>
            </w:tcBorders>
            <w:vAlign w:val="center"/>
          </w:tcPr>
          <w:p w14:paraId="11A9E194">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模块名称</w:t>
            </w:r>
          </w:p>
        </w:tc>
        <w:tc>
          <w:tcPr>
            <w:tcW w:w="1596" w:type="dxa"/>
            <w:tcBorders>
              <w:top w:val="single" w:color="000000" w:sz="4" w:space="0"/>
              <w:left w:val="single" w:color="000000" w:sz="4" w:space="0"/>
              <w:bottom w:val="single" w:color="auto" w:sz="4" w:space="0"/>
              <w:right w:val="single" w:color="000000" w:sz="4" w:space="0"/>
            </w:tcBorders>
            <w:vAlign w:val="center"/>
          </w:tcPr>
          <w:p w14:paraId="2E0BBE6E">
            <w:pPr>
              <w:widowControl/>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子功能名称</w:t>
            </w:r>
          </w:p>
        </w:tc>
        <w:tc>
          <w:tcPr>
            <w:tcW w:w="3216" w:type="dxa"/>
            <w:tcBorders>
              <w:top w:val="single" w:color="000000" w:sz="4" w:space="0"/>
              <w:left w:val="single" w:color="000000" w:sz="4" w:space="0"/>
              <w:bottom w:val="single" w:color="auto" w:sz="4" w:space="0"/>
              <w:right w:val="single" w:color="000000" w:sz="4" w:space="0"/>
            </w:tcBorders>
            <w:vAlign w:val="center"/>
          </w:tcPr>
          <w:p w14:paraId="70559401">
            <w:pPr>
              <w:widowControl/>
              <w:snapToGrid w:val="0"/>
              <w:spacing w:line="240" w:lineRule="auto"/>
              <w:ind w:left="0" w:leftChars="0" w:right="0" w:rightChars="0" w:firstLine="0" w:firstLineChars="0"/>
              <w:jc w:val="center"/>
              <w:textAlignment w:val="center"/>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功能要求</w:t>
            </w:r>
          </w:p>
        </w:tc>
      </w:tr>
      <w:tr w14:paraId="69AAC977">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3928D9F1">
            <w:pPr>
              <w:widowControl/>
              <w:snapToGrid w:val="0"/>
              <w:spacing w:line="240" w:lineRule="auto"/>
              <w:ind w:left="0" w:leftChars="0" w:right="0" w:rightChars="0"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1896" w:type="dxa"/>
            <w:vMerge w:val="restart"/>
            <w:tcBorders>
              <w:top w:val="single" w:color="auto" w:sz="4" w:space="0"/>
              <w:left w:val="single" w:color="auto" w:sz="4" w:space="0"/>
              <w:bottom w:val="single" w:color="auto" w:sz="4" w:space="0"/>
              <w:right w:val="single" w:color="auto" w:sz="4" w:space="0"/>
            </w:tcBorders>
            <w:noWrap/>
            <w:vAlign w:val="center"/>
          </w:tcPr>
          <w:p w14:paraId="0714E57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数据安全网关服务</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14:paraId="77D97517">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api接口安全网关</w:t>
            </w:r>
          </w:p>
        </w:tc>
        <w:tc>
          <w:tcPr>
            <w:tcW w:w="1596" w:type="dxa"/>
            <w:tcBorders>
              <w:top w:val="single" w:color="auto" w:sz="4" w:space="0"/>
              <w:left w:val="single" w:color="auto" w:sz="4" w:space="0"/>
              <w:bottom w:val="single" w:color="auto" w:sz="4" w:space="0"/>
              <w:right w:val="single" w:color="auto" w:sz="4" w:space="0"/>
            </w:tcBorders>
            <w:vAlign w:val="center"/>
          </w:tcPr>
          <w:p w14:paraId="25A99A92">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default" w:ascii="宋体" w:hAnsi="宋体" w:cs="宋体"/>
                <w:color w:val="000000"/>
                <w:sz w:val="21"/>
                <w:szCs w:val="21"/>
                <w:lang w:val="en-US" w:eastAsia="zh-CN"/>
              </w:rPr>
              <w:t>独立鉴权</w:t>
            </w:r>
          </w:p>
        </w:tc>
        <w:tc>
          <w:tcPr>
            <w:tcW w:w="3216" w:type="dxa"/>
            <w:tcBorders>
              <w:top w:val="single" w:color="auto" w:sz="4" w:space="0"/>
              <w:left w:val="single" w:color="auto" w:sz="4" w:space="0"/>
              <w:bottom w:val="single" w:color="auto" w:sz="4" w:space="0"/>
              <w:right w:val="single" w:color="auto" w:sz="4" w:space="0"/>
            </w:tcBorders>
            <w:vAlign w:val="center"/>
          </w:tcPr>
          <w:p w14:paraId="058D3B55">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对访问API的用户实施独立的身份验证与权限确认机制，支持API密钥、访问令牌、需在请求中携带有效凭证方可发起访问。</w:t>
            </w:r>
          </w:p>
        </w:tc>
      </w:tr>
      <w:tr w14:paraId="424B071E">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22F1B11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36E8BDD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09BD6ABD">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vAlign w:val="center"/>
          </w:tcPr>
          <w:p w14:paraId="3A9213E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目录鉴权</w:t>
            </w:r>
          </w:p>
        </w:tc>
        <w:tc>
          <w:tcPr>
            <w:tcW w:w="3216" w:type="dxa"/>
            <w:tcBorders>
              <w:top w:val="single" w:color="auto" w:sz="4" w:space="0"/>
              <w:left w:val="single" w:color="auto" w:sz="4" w:space="0"/>
              <w:bottom w:val="single" w:color="auto" w:sz="4" w:space="0"/>
              <w:right w:val="single" w:color="auto" w:sz="4" w:space="0"/>
            </w:tcBorders>
            <w:vAlign w:val="center"/>
          </w:tcPr>
          <w:p w14:paraId="50ADE341">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建立请求匹配判断机制：当请求访问某目录下的API时，系统自动匹配请求者的权限范围，自动判定是否放行。</w:t>
            </w:r>
          </w:p>
        </w:tc>
      </w:tr>
      <w:tr w14:paraId="4A83EDF2">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2A60F18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2CB3B6EA">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28C16637">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vAlign w:val="center"/>
          </w:tcPr>
          <w:p w14:paraId="430FADB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服务编排</w:t>
            </w:r>
          </w:p>
        </w:tc>
        <w:tc>
          <w:tcPr>
            <w:tcW w:w="3216" w:type="dxa"/>
            <w:tcBorders>
              <w:top w:val="single" w:color="auto" w:sz="4" w:space="0"/>
              <w:left w:val="single" w:color="auto" w:sz="4" w:space="0"/>
              <w:bottom w:val="single" w:color="auto" w:sz="4" w:space="0"/>
              <w:right w:val="single" w:color="auto" w:sz="4" w:space="0"/>
            </w:tcBorders>
            <w:vAlign w:val="center"/>
          </w:tcPr>
          <w:p w14:paraId="65304A51">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组合、管理多个API服务，按业务流程有序调用。</w:t>
            </w:r>
          </w:p>
        </w:tc>
      </w:tr>
      <w:tr w14:paraId="486DD621">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395DC23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6CEF399B">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215DBA09">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vAlign w:val="center"/>
          </w:tcPr>
          <w:p w14:paraId="4E3B2F3B">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负载均衡</w:t>
            </w:r>
          </w:p>
        </w:tc>
        <w:tc>
          <w:tcPr>
            <w:tcW w:w="3216" w:type="dxa"/>
            <w:tcBorders>
              <w:top w:val="single" w:color="auto" w:sz="4" w:space="0"/>
              <w:left w:val="single" w:color="auto" w:sz="4" w:space="0"/>
              <w:bottom w:val="single" w:color="auto" w:sz="4" w:space="0"/>
              <w:right w:val="single" w:color="auto" w:sz="4" w:space="0"/>
            </w:tcBorders>
            <w:vAlign w:val="center"/>
          </w:tcPr>
          <w:p w14:paraId="2F4CF690">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提供多样化的请求分发规则，适配不同业务场景。</w:t>
            </w:r>
          </w:p>
        </w:tc>
      </w:tr>
      <w:tr w14:paraId="064AEAF7">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5255521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2E958089">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34DDD5D8">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vAlign w:val="center"/>
          </w:tcPr>
          <w:p w14:paraId="56AFBA42">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过载保护</w:t>
            </w:r>
          </w:p>
        </w:tc>
        <w:tc>
          <w:tcPr>
            <w:tcW w:w="3216" w:type="dxa"/>
            <w:tcBorders>
              <w:top w:val="single" w:color="auto" w:sz="4" w:space="0"/>
              <w:left w:val="single" w:color="auto" w:sz="4" w:space="0"/>
              <w:bottom w:val="single" w:color="auto" w:sz="4" w:space="0"/>
              <w:right w:val="single" w:color="auto" w:sz="4" w:space="0"/>
            </w:tcBorders>
            <w:vAlign w:val="center"/>
          </w:tcPr>
          <w:p w14:paraId="2443D88A">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当系统接收的请求量超过其承载能力时，对非核心API实施限流，通过一系列预设机制进行干预，防止系统因资源耗尽而崩溃，保障核心功能的稳定运行。</w:t>
            </w:r>
          </w:p>
        </w:tc>
      </w:tr>
      <w:tr w14:paraId="35DD9A8B">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12CD28B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0BB0B8BA">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330D2AFC">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vAlign w:val="center"/>
          </w:tcPr>
          <w:p w14:paraId="7AD014F2">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流量控制</w:t>
            </w:r>
          </w:p>
        </w:tc>
        <w:tc>
          <w:tcPr>
            <w:tcW w:w="3216" w:type="dxa"/>
            <w:tcBorders>
              <w:top w:val="single" w:color="auto" w:sz="4" w:space="0"/>
              <w:left w:val="single" w:color="auto" w:sz="4" w:space="0"/>
              <w:bottom w:val="single" w:color="auto" w:sz="4" w:space="0"/>
              <w:right w:val="single" w:color="auto" w:sz="4" w:space="0"/>
            </w:tcBorders>
            <w:vAlign w:val="center"/>
          </w:tcPr>
          <w:p w14:paraId="24EAF849">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限制API请求流量，保障系统稳定，防止恶意高频请求。</w:t>
            </w:r>
          </w:p>
        </w:tc>
      </w:tr>
      <w:tr w14:paraId="074D710A">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733676E6">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33A0446C">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56CF72BD">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vAlign w:val="center"/>
          </w:tcPr>
          <w:p w14:paraId="47E5FF4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日志记录</w:t>
            </w:r>
          </w:p>
        </w:tc>
        <w:tc>
          <w:tcPr>
            <w:tcW w:w="3216" w:type="dxa"/>
            <w:tcBorders>
              <w:top w:val="single" w:color="auto" w:sz="4" w:space="0"/>
              <w:left w:val="single" w:color="auto" w:sz="4" w:space="0"/>
              <w:bottom w:val="single" w:color="auto" w:sz="4" w:space="0"/>
              <w:right w:val="single" w:color="auto" w:sz="4" w:space="0"/>
            </w:tcBorders>
            <w:vAlign w:val="center"/>
          </w:tcPr>
          <w:p w14:paraId="702886E5">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全面记录API访问过程中的关键信息，为系统审计与故障排查提供可靠依据。</w:t>
            </w:r>
          </w:p>
        </w:tc>
      </w:tr>
      <w:tr w14:paraId="6F8F92EB">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2CBBF37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03AB9B1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restart"/>
            <w:tcBorders>
              <w:top w:val="single" w:color="auto" w:sz="4" w:space="0"/>
              <w:left w:val="single" w:color="auto" w:sz="4" w:space="0"/>
              <w:bottom w:val="single" w:color="auto" w:sz="4" w:space="0"/>
              <w:right w:val="single" w:color="auto" w:sz="4" w:space="0"/>
            </w:tcBorders>
            <w:vAlign w:val="center"/>
          </w:tcPr>
          <w:p w14:paraId="282B7393">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应用安全访问网关</w:t>
            </w:r>
          </w:p>
        </w:tc>
        <w:tc>
          <w:tcPr>
            <w:tcW w:w="1596" w:type="dxa"/>
            <w:tcBorders>
              <w:top w:val="single" w:color="auto" w:sz="4" w:space="0"/>
              <w:left w:val="single" w:color="auto" w:sz="4" w:space="0"/>
              <w:bottom w:val="single" w:color="auto" w:sz="4" w:space="0"/>
              <w:right w:val="single" w:color="auto" w:sz="4" w:space="0"/>
            </w:tcBorders>
            <w:vAlign w:val="center"/>
          </w:tcPr>
          <w:p w14:paraId="51DB5FCB">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认证鉴权</w:t>
            </w:r>
          </w:p>
        </w:tc>
        <w:tc>
          <w:tcPr>
            <w:tcW w:w="3216" w:type="dxa"/>
            <w:tcBorders>
              <w:top w:val="single" w:color="auto" w:sz="4" w:space="0"/>
              <w:left w:val="single" w:color="auto" w:sz="4" w:space="0"/>
              <w:bottom w:val="single" w:color="auto" w:sz="4" w:space="0"/>
              <w:right w:val="single" w:color="auto" w:sz="4" w:space="0"/>
            </w:tcBorders>
            <w:vAlign w:val="center"/>
          </w:tcPr>
          <w:p w14:paraId="634BC06B">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验证访问应用的用户或系统身份及权限，确保合法访问。</w:t>
            </w:r>
          </w:p>
        </w:tc>
      </w:tr>
      <w:tr w14:paraId="220676DD">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77DD6E5F">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4A25CAAA">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65F61471">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vAlign w:val="center"/>
          </w:tcPr>
          <w:p w14:paraId="0E51CE68">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服务目录</w:t>
            </w:r>
          </w:p>
        </w:tc>
        <w:tc>
          <w:tcPr>
            <w:tcW w:w="3216" w:type="dxa"/>
            <w:tcBorders>
              <w:top w:val="single" w:color="auto" w:sz="4" w:space="0"/>
              <w:left w:val="single" w:color="auto" w:sz="4" w:space="0"/>
              <w:bottom w:val="single" w:color="auto" w:sz="4" w:space="0"/>
              <w:right w:val="single" w:color="auto" w:sz="4" w:space="0"/>
            </w:tcBorders>
            <w:vAlign w:val="center"/>
          </w:tcPr>
          <w:p w14:paraId="57E4D8B0">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对应用系统中的服务进行集中管理与展示，方便查找调用。</w:t>
            </w:r>
          </w:p>
        </w:tc>
      </w:tr>
      <w:tr w14:paraId="032A3B84">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21D7D05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10</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32D7C19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57400479">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vAlign w:val="center"/>
          </w:tcPr>
          <w:p w14:paraId="0B17DEF9">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服务路由</w:t>
            </w:r>
          </w:p>
        </w:tc>
        <w:tc>
          <w:tcPr>
            <w:tcW w:w="3216" w:type="dxa"/>
            <w:tcBorders>
              <w:top w:val="single" w:color="auto" w:sz="4" w:space="0"/>
              <w:left w:val="single" w:color="auto" w:sz="4" w:space="0"/>
              <w:bottom w:val="single" w:color="auto" w:sz="4" w:space="0"/>
              <w:right w:val="single" w:color="auto" w:sz="4" w:space="0"/>
            </w:tcBorders>
            <w:vAlign w:val="center"/>
          </w:tcPr>
          <w:p w14:paraId="7486E6D5">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提供请求转发功能，根据规则和策略，将请求转发到合适的服务实例。</w:t>
            </w:r>
          </w:p>
        </w:tc>
      </w:tr>
      <w:tr w14:paraId="5B86700B">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29E110A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3FEEF953">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1775BEE4">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vAlign w:val="center"/>
          </w:tcPr>
          <w:p w14:paraId="6F4F23B7">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服务调回</w:t>
            </w:r>
          </w:p>
        </w:tc>
        <w:tc>
          <w:tcPr>
            <w:tcW w:w="3216" w:type="dxa"/>
            <w:tcBorders>
              <w:top w:val="single" w:color="auto" w:sz="4" w:space="0"/>
              <w:left w:val="single" w:color="auto" w:sz="4" w:space="0"/>
              <w:bottom w:val="single" w:color="auto" w:sz="4" w:space="0"/>
              <w:right w:val="single" w:color="auto" w:sz="4" w:space="0"/>
            </w:tcBorders>
            <w:vAlign w:val="center"/>
          </w:tcPr>
          <w:p w14:paraId="3D9C23D4">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在特定条件下，如服务故障恢复等，支持调整服务调用路径等。</w:t>
            </w:r>
          </w:p>
        </w:tc>
      </w:tr>
      <w:tr w14:paraId="31E4B1BA">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262C3036">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12</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461CDC94">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2D43C5DE">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vAlign w:val="center"/>
          </w:tcPr>
          <w:p w14:paraId="41988058">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熔断限流</w:t>
            </w:r>
          </w:p>
        </w:tc>
        <w:tc>
          <w:tcPr>
            <w:tcW w:w="3216" w:type="dxa"/>
            <w:tcBorders>
              <w:top w:val="single" w:color="auto" w:sz="4" w:space="0"/>
              <w:left w:val="single" w:color="auto" w:sz="4" w:space="0"/>
              <w:bottom w:val="single" w:color="auto" w:sz="4" w:space="0"/>
              <w:right w:val="single" w:color="auto" w:sz="4" w:space="0"/>
            </w:tcBorders>
            <w:vAlign w:val="center"/>
          </w:tcPr>
          <w:p w14:paraId="4728989D">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当服务出现故障或请求量过大时，熔断防止故障扩散，限流控制请求量。</w:t>
            </w:r>
          </w:p>
        </w:tc>
      </w:tr>
      <w:tr w14:paraId="2B3B3BCF">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08C246E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13</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20DD2D8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4E621304">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vAlign w:val="center"/>
          </w:tcPr>
          <w:p w14:paraId="10A93D89">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负载均衡</w:t>
            </w:r>
          </w:p>
        </w:tc>
        <w:tc>
          <w:tcPr>
            <w:tcW w:w="3216" w:type="dxa"/>
            <w:tcBorders>
              <w:top w:val="single" w:color="auto" w:sz="4" w:space="0"/>
              <w:left w:val="single" w:color="auto" w:sz="4" w:space="0"/>
              <w:bottom w:val="single" w:color="auto" w:sz="4" w:space="0"/>
              <w:right w:val="single" w:color="auto" w:sz="4" w:space="0"/>
            </w:tcBorders>
            <w:vAlign w:val="center"/>
          </w:tcPr>
          <w:p w14:paraId="0B25C6EC">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将请求均匀分配到多个服务实例，提升性能和可用性。</w:t>
            </w:r>
          </w:p>
        </w:tc>
      </w:tr>
      <w:tr w14:paraId="2CCDC68E">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28445EA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14</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1EE9CB8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5CB5C4F3">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p>
        </w:tc>
        <w:tc>
          <w:tcPr>
            <w:tcW w:w="1596" w:type="dxa"/>
            <w:tcBorders>
              <w:top w:val="single" w:color="auto" w:sz="4" w:space="0"/>
              <w:left w:val="single" w:color="auto" w:sz="4" w:space="0"/>
              <w:bottom w:val="single" w:color="auto" w:sz="4" w:space="0"/>
              <w:right w:val="single" w:color="auto" w:sz="4" w:space="0"/>
            </w:tcBorders>
            <w:vAlign w:val="center"/>
          </w:tcPr>
          <w:p w14:paraId="2C9818AC">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超时配置</w:t>
            </w:r>
          </w:p>
        </w:tc>
        <w:tc>
          <w:tcPr>
            <w:tcW w:w="3216" w:type="dxa"/>
            <w:tcBorders>
              <w:top w:val="single" w:color="auto" w:sz="4" w:space="0"/>
              <w:left w:val="single" w:color="auto" w:sz="4" w:space="0"/>
              <w:bottom w:val="single" w:color="auto" w:sz="4" w:space="0"/>
              <w:right w:val="single" w:color="auto" w:sz="4" w:space="0"/>
            </w:tcBorders>
            <w:vAlign w:val="center"/>
          </w:tcPr>
          <w:p w14:paraId="6B46CEA8">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设置服务调用的超时时间，避免请求长时间等待。</w:t>
            </w:r>
          </w:p>
        </w:tc>
      </w:tr>
      <w:tr w14:paraId="25DD92CC">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4875B7C4">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15</w:t>
            </w:r>
          </w:p>
        </w:tc>
        <w:tc>
          <w:tcPr>
            <w:tcW w:w="1896" w:type="dxa"/>
            <w:vMerge w:val="continue"/>
            <w:tcBorders>
              <w:top w:val="single" w:color="auto" w:sz="4" w:space="0"/>
              <w:left w:val="single" w:color="auto" w:sz="4" w:space="0"/>
              <w:bottom w:val="single" w:color="auto" w:sz="4" w:space="0"/>
              <w:right w:val="single" w:color="auto" w:sz="4" w:space="0"/>
            </w:tcBorders>
            <w:noWrap/>
            <w:vAlign w:val="center"/>
          </w:tcPr>
          <w:p w14:paraId="1B76383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tcBorders>
              <w:top w:val="single" w:color="auto" w:sz="4" w:space="0"/>
              <w:left w:val="single" w:color="auto" w:sz="4" w:space="0"/>
              <w:bottom w:val="single" w:color="auto" w:sz="4" w:space="0"/>
              <w:right w:val="single" w:color="auto" w:sz="4" w:space="0"/>
            </w:tcBorders>
            <w:vAlign w:val="center"/>
          </w:tcPr>
          <w:p w14:paraId="2601B612">
            <w:pPr>
              <w:widowControl/>
              <w:snapToGrid w:val="0"/>
              <w:spacing w:line="240" w:lineRule="auto"/>
              <w:ind w:left="0" w:leftChars="0" w:right="0" w:rightChars="0" w:firstLine="0" w:firstLineChars="0"/>
              <w:jc w:val="center"/>
              <w:textAlignment w:val="center"/>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平台水印防泄漏</w:t>
            </w:r>
          </w:p>
        </w:tc>
        <w:tc>
          <w:tcPr>
            <w:tcW w:w="1596" w:type="dxa"/>
            <w:tcBorders>
              <w:top w:val="single" w:color="auto" w:sz="4" w:space="0"/>
              <w:left w:val="single" w:color="auto" w:sz="4" w:space="0"/>
              <w:bottom w:val="single" w:color="auto" w:sz="4" w:space="0"/>
              <w:right w:val="single" w:color="auto" w:sz="4" w:space="0"/>
            </w:tcBorders>
            <w:vAlign w:val="center"/>
          </w:tcPr>
          <w:p w14:paraId="58E1C4E2">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水印添加</w:t>
            </w:r>
          </w:p>
        </w:tc>
        <w:tc>
          <w:tcPr>
            <w:tcW w:w="3216" w:type="dxa"/>
            <w:tcBorders>
              <w:top w:val="single" w:color="auto" w:sz="4" w:space="0"/>
              <w:left w:val="single" w:color="auto" w:sz="4" w:space="0"/>
              <w:bottom w:val="single" w:color="auto" w:sz="4" w:space="0"/>
              <w:right w:val="single" w:color="auto" w:sz="4" w:space="0"/>
            </w:tcBorders>
            <w:vAlign w:val="center"/>
          </w:tcPr>
          <w:p w14:paraId="6B439801">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提供含用户标识等关键信息的固定水印添加功能，支持自定义样式和位置，确保截图可追溯到具体操作用户和时间。</w:t>
            </w:r>
          </w:p>
        </w:tc>
      </w:tr>
      <w:tr w14:paraId="2064F4D7">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6B0C3172">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16</w:t>
            </w:r>
          </w:p>
        </w:tc>
        <w:tc>
          <w:tcPr>
            <w:tcW w:w="1896" w:type="dxa"/>
            <w:vMerge w:val="continue"/>
            <w:tcBorders>
              <w:top w:val="single" w:color="auto" w:sz="4" w:space="0"/>
              <w:left w:val="single" w:color="auto" w:sz="4" w:space="0"/>
              <w:right w:val="single" w:color="000000" w:sz="4" w:space="0"/>
            </w:tcBorders>
            <w:noWrap/>
            <w:vAlign w:val="center"/>
          </w:tcPr>
          <w:p w14:paraId="35279B22">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restart"/>
            <w:tcBorders>
              <w:top w:val="single" w:color="auto" w:sz="4" w:space="0"/>
              <w:left w:val="single" w:color="000000" w:sz="4" w:space="0"/>
              <w:bottom w:val="single" w:color="auto" w:sz="4" w:space="0"/>
              <w:right w:val="single" w:color="000000" w:sz="4" w:space="0"/>
            </w:tcBorders>
            <w:vAlign w:val="center"/>
          </w:tcPr>
          <w:p w14:paraId="2D6CCF74">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隐私数据脱敏处理</w:t>
            </w:r>
          </w:p>
        </w:tc>
        <w:tc>
          <w:tcPr>
            <w:tcW w:w="1596" w:type="dxa"/>
            <w:tcBorders>
              <w:top w:val="single" w:color="auto" w:sz="4" w:space="0"/>
              <w:left w:val="single" w:color="000000" w:sz="4" w:space="0"/>
              <w:bottom w:val="single" w:color="auto" w:sz="4" w:space="0"/>
              <w:right w:val="single" w:color="000000" w:sz="4" w:space="0"/>
            </w:tcBorders>
            <w:vAlign w:val="center"/>
          </w:tcPr>
          <w:p w14:paraId="17C8ED85">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数据脱敏原则制定</w:t>
            </w:r>
          </w:p>
        </w:tc>
        <w:tc>
          <w:tcPr>
            <w:tcW w:w="3216" w:type="dxa"/>
            <w:tcBorders>
              <w:top w:val="single" w:color="auto" w:sz="4" w:space="0"/>
              <w:left w:val="single" w:color="000000" w:sz="4" w:space="0"/>
              <w:bottom w:val="single" w:color="auto" w:sz="4" w:space="0"/>
              <w:right w:val="single" w:color="auto" w:sz="4" w:space="0"/>
            </w:tcBorders>
            <w:vAlign w:val="center"/>
          </w:tcPr>
          <w:p w14:paraId="0459493C">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制定对隐私数据进行脱敏操作时应遵循的准则，如最小化原则（只处理必要数据）、一致性原则（保证脱敏后数据逻辑合理）等，以确保在保护隐私的同时不影响数据的可用性和业务需求。</w:t>
            </w:r>
          </w:p>
        </w:tc>
      </w:tr>
      <w:tr w14:paraId="3FD9A55C">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4C10B3F7">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17</w:t>
            </w:r>
          </w:p>
        </w:tc>
        <w:tc>
          <w:tcPr>
            <w:tcW w:w="1896" w:type="dxa"/>
            <w:vMerge w:val="continue"/>
            <w:tcBorders>
              <w:left w:val="single" w:color="auto" w:sz="4" w:space="0"/>
              <w:right w:val="single" w:color="000000" w:sz="4" w:space="0"/>
            </w:tcBorders>
            <w:noWrap/>
            <w:vAlign w:val="center"/>
          </w:tcPr>
          <w:p w14:paraId="7EB16DCF">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000000" w:sz="4" w:space="0"/>
              <w:bottom w:val="single" w:color="auto" w:sz="4" w:space="0"/>
              <w:right w:val="single" w:color="000000" w:sz="4" w:space="0"/>
            </w:tcBorders>
            <w:vAlign w:val="center"/>
          </w:tcPr>
          <w:p w14:paraId="09740BA6">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p>
        </w:tc>
        <w:tc>
          <w:tcPr>
            <w:tcW w:w="1596" w:type="dxa"/>
            <w:tcBorders>
              <w:top w:val="single" w:color="auto" w:sz="4" w:space="0"/>
              <w:left w:val="single" w:color="000000" w:sz="4" w:space="0"/>
              <w:bottom w:val="single" w:color="auto" w:sz="4" w:space="0"/>
              <w:right w:val="single" w:color="000000" w:sz="4" w:space="0"/>
            </w:tcBorders>
            <w:vAlign w:val="center"/>
          </w:tcPr>
          <w:p w14:paraId="326CA55F">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数据脱敏流程</w:t>
            </w:r>
          </w:p>
        </w:tc>
        <w:tc>
          <w:tcPr>
            <w:tcW w:w="3216" w:type="dxa"/>
            <w:tcBorders>
              <w:top w:val="single" w:color="auto" w:sz="4" w:space="0"/>
              <w:left w:val="single" w:color="000000" w:sz="4" w:space="0"/>
              <w:bottom w:val="single" w:color="auto" w:sz="4" w:space="0"/>
              <w:right w:val="single" w:color="auto" w:sz="4" w:space="0"/>
            </w:tcBorders>
            <w:vAlign w:val="center"/>
          </w:tcPr>
          <w:p w14:paraId="1C70DE59">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涵盖从确定需要脱敏的数据范围、选择合适的脱敏算法和技术，到实施脱敏操作、验证脱敏效果等一系列步骤，是有序进行数据脱敏工作的规范流程。</w:t>
            </w:r>
          </w:p>
        </w:tc>
      </w:tr>
      <w:tr w14:paraId="121CD851">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6C745658">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18</w:t>
            </w:r>
          </w:p>
        </w:tc>
        <w:tc>
          <w:tcPr>
            <w:tcW w:w="1896" w:type="dxa"/>
            <w:vMerge w:val="continue"/>
            <w:tcBorders>
              <w:left w:val="single" w:color="auto" w:sz="4" w:space="0"/>
              <w:right w:val="single" w:color="000000" w:sz="4" w:space="0"/>
            </w:tcBorders>
            <w:noWrap/>
            <w:vAlign w:val="center"/>
          </w:tcPr>
          <w:p w14:paraId="49F6923E">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vMerge w:val="continue"/>
            <w:tcBorders>
              <w:top w:val="single" w:color="auto" w:sz="4" w:space="0"/>
              <w:left w:val="single" w:color="000000" w:sz="4" w:space="0"/>
              <w:bottom w:val="single" w:color="auto" w:sz="4" w:space="0"/>
              <w:right w:val="single" w:color="000000" w:sz="4" w:space="0"/>
            </w:tcBorders>
            <w:vAlign w:val="center"/>
          </w:tcPr>
          <w:p w14:paraId="3D12CD26">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p>
        </w:tc>
        <w:tc>
          <w:tcPr>
            <w:tcW w:w="1596" w:type="dxa"/>
            <w:tcBorders>
              <w:top w:val="single" w:color="auto" w:sz="4" w:space="0"/>
              <w:left w:val="single" w:color="000000" w:sz="4" w:space="0"/>
              <w:bottom w:val="single" w:color="auto" w:sz="4" w:space="0"/>
              <w:right w:val="single" w:color="000000" w:sz="4" w:space="0"/>
            </w:tcBorders>
            <w:vAlign w:val="center"/>
          </w:tcPr>
          <w:p w14:paraId="04455627">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数据脱敏功能</w:t>
            </w:r>
          </w:p>
        </w:tc>
        <w:tc>
          <w:tcPr>
            <w:tcW w:w="3216" w:type="dxa"/>
            <w:tcBorders>
              <w:top w:val="single" w:color="auto" w:sz="4" w:space="0"/>
              <w:left w:val="single" w:color="000000" w:sz="4" w:space="0"/>
              <w:bottom w:val="single" w:color="auto" w:sz="4" w:space="0"/>
              <w:right w:val="single" w:color="auto" w:sz="4" w:space="0"/>
            </w:tcBorders>
            <w:vAlign w:val="center"/>
          </w:tcPr>
          <w:p w14:paraId="167E69C7">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包括对敏感数据进行替换、屏蔽、加密、变形等操作的功能，实现将敏感信息转化为非敏感形式，降低数据泄露带来的风险。</w:t>
            </w:r>
          </w:p>
        </w:tc>
      </w:tr>
      <w:tr w14:paraId="05242EF4">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2157B4A2">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19</w:t>
            </w:r>
          </w:p>
        </w:tc>
        <w:tc>
          <w:tcPr>
            <w:tcW w:w="1896" w:type="dxa"/>
            <w:vMerge w:val="continue"/>
            <w:tcBorders>
              <w:left w:val="single" w:color="auto" w:sz="4" w:space="0"/>
              <w:right w:val="single" w:color="000000" w:sz="4" w:space="0"/>
            </w:tcBorders>
            <w:noWrap/>
            <w:vAlign w:val="center"/>
          </w:tcPr>
          <w:p w14:paraId="2084797C">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tcBorders>
              <w:top w:val="single" w:color="auto" w:sz="4" w:space="0"/>
              <w:left w:val="single" w:color="000000" w:sz="4" w:space="0"/>
              <w:bottom w:val="single" w:color="auto" w:sz="4" w:space="0"/>
              <w:right w:val="single" w:color="000000" w:sz="4" w:space="0"/>
            </w:tcBorders>
            <w:vAlign w:val="center"/>
          </w:tcPr>
          <w:p w14:paraId="15420AFA">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数据传输加密处理</w:t>
            </w:r>
          </w:p>
        </w:tc>
        <w:tc>
          <w:tcPr>
            <w:tcW w:w="1596" w:type="dxa"/>
            <w:tcBorders>
              <w:top w:val="single" w:color="auto" w:sz="4" w:space="0"/>
              <w:left w:val="single" w:color="000000" w:sz="4" w:space="0"/>
              <w:bottom w:val="single" w:color="auto" w:sz="4" w:space="0"/>
              <w:right w:val="single" w:color="000000" w:sz="4" w:space="0"/>
            </w:tcBorders>
            <w:vAlign w:val="center"/>
          </w:tcPr>
          <w:p w14:paraId="71AC46F2">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p>
        </w:tc>
        <w:tc>
          <w:tcPr>
            <w:tcW w:w="3216" w:type="dxa"/>
            <w:tcBorders>
              <w:top w:val="single" w:color="auto" w:sz="4" w:space="0"/>
              <w:left w:val="single" w:color="000000" w:sz="4" w:space="0"/>
              <w:bottom w:val="single" w:color="auto" w:sz="4" w:space="0"/>
              <w:right w:val="single" w:color="auto" w:sz="4" w:space="0"/>
            </w:tcBorders>
            <w:vAlign w:val="center"/>
          </w:tcPr>
          <w:p w14:paraId="12944AE6">
            <w:pPr>
              <w:widowControl/>
              <w:snapToGrid w:val="0"/>
              <w:spacing w:line="240" w:lineRule="auto"/>
              <w:ind w:left="0" w:leftChars="0" w:right="0" w:rightChars="0" w:firstLine="0" w:firstLineChars="0"/>
              <w:jc w:val="both"/>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对数据传输过程进行加密处理。</w:t>
            </w:r>
          </w:p>
        </w:tc>
      </w:tr>
      <w:tr w14:paraId="7405C723">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4A53365D">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20</w:t>
            </w:r>
          </w:p>
        </w:tc>
        <w:tc>
          <w:tcPr>
            <w:tcW w:w="1896" w:type="dxa"/>
            <w:vMerge w:val="continue"/>
            <w:tcBorders>
              <w:left w:val="single" w:color="auto" w:sz="4" w:space="0"/>
              <w:right w:val="single" w:color="000000" w:sz="4" w:space="0"/>
            </w:tcBorders>
            <w:noWrap/>
            <w:vAlign w:val="center"/>
          </w:tcPr>
          <w:p w14:paraId="723680AA">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tcBorders>
              <w:top w:val="single" w:color="auto" w:sz="4" w:space="0"/>
              <w:left w:val="single" w:color="000000" w:sz="4" w:space="0"/>
              <w:bottom w:val="single" w:color="auto" w:sz="4" w:space="0"/>
              <w:right w:val="single" w:color="000000" w:sz="4" w:space="0"/>
            </w:tcBorders>
            <w:vAlign w:val="center"/>
          </w:tcPr>
          <w:p w14:paraId="44D85E3A">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重要数据加密存储</w:t>
            </w:r>
          </w:p>
        </w:tc>
        <w:tc>
          <w:tcPr>
            <w:tcW w:w="1596" w:type="dxa"/>
            <w:tcBorders>
              <w:top w:val="single" w:color="auto" w:sz="4" w:space="0"/>
              <w:left w:val="single" w:color="000000" w:sz="4" w:space="0"/>
              <w:bottom w:val="single" w:color="auto" w:sz="4" w:space="0"/>
              <w:right w:val="single" w:color="000000" w:sz="4" w:space="0"/>
            </w:tcBorders>
            <w:vAlign w:val="center"/>
          </w:tcPr>
          <w:p w14:paraId="2B17666A">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p>
        </w:tc>
        <w:tc>
          <w:tcPr>
            <w:tcW w:w="3216" w:type="dxa"/>
            <w:tcBorders>
              <w:top w:val="single" w:color="auto" w:sz="4" w:space="0"/>
              <w:left w:val="single" w:color="000000" w:sz="4" w:space="0"/>
              <w:bottom w:val="single" w:color="auto" w:sz="4" w:space="0"/>
              <w:right w:val="single" w:color="auto" w:sz="4" w:space="0"/>
            </w:tcBorders>
            <w:vAlign w:val="center"/>
          </w:tcPr>
          <w:p w14:paraId="29426BB3">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对包含关键经济数据、企业核心的数据，如企业财务、纳税数据等，采用加密算法进行加密存储，加密密钥由平台统一管理，严格控制访问权限。</w:t>
            </w:r>
          </w:p>
        </w:tc>
      </w:tr>
      <w:tr w14:paraId="3143A72E">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1E040771">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21</w:t>
            </w:r>
          </w:p>
        </w:tc>
        <w:tc>
          <w:tcPr>
            <w:tcW w:w="1896" w:type="dxa"/>
            <w:vMerge w:val="continue"/>
            <w:tcBorders>
              <w:left w:val="single" w:color="auto" w:sz="4" w:space="0"/>
              <w:right w:val="single" w:color="000000" w:sz="4" w:space="0"/>
            </w:tcBorders>
            <w:noWrap/>
            <w:vAlign w:val="center"/>
          </w:tcPr>
          <w:p w14:paraId="39EA093C">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tcBorders>
              <w:top w:val="single" w:color="auto" w:sz="4" w:space="0"/>
              <w:left w:val="single" w:color="000000" w:sz="4" w:space="0"/>
              <w:bottom w:val="single" w:color="auto" w:sz="4" w:space="0"/>
              <w:right w:val="single" w:color="000000" w:sz="4" w:space="0"/>
            </w:tcBorders>
            <w:vAlign w:val="center"/>
          </w:tcPr>
          <w:p w14:paraId="3FE559ED">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数据安全备份</w:t>
            </w:r>
          </w:p>
        </w:tc>
        <w:tc>
          <w:tcPr>
            <w:tcW w:w="1596" w:type="dxa"/>
            <w:tcBorders>
              <w:top w:val="single" w:color="auto" w:sz="4" w:space="0"/>
              <w:left w:val="single" w:color="000000" w:sz="4" w:space="0"/>
              <w:bottom w:val="single" w:color="auto" w:sz="4" w:space="0"/>
              <w:right w:val="single" w:color="000000" w:sz="4" w:space="0"/>
            </w:tcBorders>
            <w:vAlign w:val="center"/>
          </w:tcPr>
          <w:p w14:paraId="5D603B76">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p>
        </w:tc>
        <w:tc>
          <w:tcPr>
            <w:tcW w:w="3216" w:type="dxa"/>
            <w:tcBorders>
              <w:top w:val="single" w:color="auto" w:sz="4" w:space="0"/>
              <w:left w:val="single" w:color="000000" w:sz="4" w:space="0"/>
              <w:bottom w:val="single" w:color="auto" w:sz="4" w:space="0"/>
              <w:right w:val="single" w:color="auto" w:sz="4" w:space="0"/>
            </w:tcBorders>
            <w:vAlign w:val="center"/>
          </w:tcPr>
          <w:p w14:paraId="3F5AB7CC">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建立完善的数据备份体系，通过定期自动备份机制保障平台数据安全，支持设置自动备份任务；支持全量备份和增量备份；提供差异化备份策略，依据数据重要性等级和更新频率制定不同的备份周期；记录备份结果；支持备份文件的查询、验证与恢复。</w:t>
            </w:r>
          </w:p>
        </w:tc>
      </w:tr>
      <w:tr w14:paraId="3D43D38E">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78D1B676">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22</w:t>
            </w:r>
          </w:p>
        </w:tc>
        <w:tc>
          <w:tcPr>
            <w:tcW w:w="1896" w:type="dxa"/>
            <w:vMerge w:val="continue"/>
            <w:tcBorders>
              <w:left w:val="single" w:color="auto" w:sz="4" w:space="0"/>
              <w:right w:val="single" w:color="000000" w:sz="4" w:space="0"/>
            </w:tcBorders>
            <w:noWrap/>
            <w:vAlign w:val="center"/>
          </w:tcPr>
          <w:p w14:paraId="268A8CB9">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tcBorders>
              <w:top w:val="single" w:color="auto" w:sz="4" w:space="0"/>
              <w:left w:val="single" w:color="000000" w:sz="4" w:space="0"/>
              <w:bottom w:val="single" w:color="auto" w:sz="4" w:space="0"/>
              <w:right w:val="single" w:color="000000" w:sz="4" w:space="0"/>
            </w:tcBorders>
            <w:vAlign w:val="center"/>
          </w:tcPr>
          <w:p w14:paraId="0A07F963">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服务器资源异常实时监控</w:t>
            </w:r>
          </w:p>
        </w:tc>
        <w:tc>
          <w:tcPr>
            <w:tcW w:w="1596" w:type="dxa"/>
            <w:tcBorders>
              <w:top w:val="single" w:color="auto" w:sz="4" w:space="0"/>
              <w:left w:val="single" w:color="000000" w:sz="4" w:space="0"/>
              <w:bottom w:val="single" w:color="auto" w:sz="4" w:space="0"/>
              <w:right w:val="single" w:color="000000" w:sz="4" w:space="0"/>
            </w:tcBorders>
            <w:vAlign w:val="center"/>
          </w:tcPr>
          <w:p w14:paraId="50229DBB">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p>
        </w:tc>
        <w:tc>
          <w:tcPr>
            <w:tcW w:w="3216" w:type="dxa"/>
            <w:tcBorders>
              <w:top w:val="single" w:color="auto" w:sz="4" w:space="0"/>
              <w:left w:val="single" w:color="000000" w:sz="4" w:space="0"/>
              <w:bottom w:val="single" w:color="auto" w:sz="4" w:space="0"/>
              <w:right w:val="single" w:color="auto" w:sz="4" w:space="0"/>
            </w:tcBorders>
            <w:vAlign w:val="center"/>
          </w:tcPr>
          <w:p w14:paraId="579214B1">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搭建实时监控系统，持续监测服务器使用情况，异常时及时警报，便于管理员快速处理。</w:t>
            </w:r>
          </w:p>
        </w:tc>
      </w:tr>
      <w:tr w14:paraId="0E7A646A">
        <w:tblPrEx>
          <w:tblCellMar>
            <w:top w:w="0" w:type="dxa"/>
            <w:left w:w="108" w:type="dxa"/>
            <w:bottom w:w="0" w:type="dxa"/>
            <w:right w:w="108" w:type="dxa"/>
          </w:tblCellMar>
        </w:tblPrEx>
        <w:trPr>
          <w:trHeight w:val="0" w:hRule="atLeast"/>
          <w:jc w:val="center"/>
        </w:trPr>
        <w:tc>
          <w:tcPr>
            <w:tcW w:w="638" w:type="dxa"/>
            <w:tcBorders>
              <w:top w:val="single" w:color="auto" w:sz="4" w:space="0"/>
              <w:left w:val="single" w:color="auto" w:sz="4" w:space="0"/>
              <w:bottom w:val="single" w:color="auto" w:sz="4" w:space="0"/>
              <w:right w:val="single" w:color="auto" w:sz="4" w:space="0"/>
            </w:tcBorders>
            <w:noWrap/>
            <w:vAlign w:val="center"/>
          </w:tcPr>
          <w:p w14:paraId="4AC50A26">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23</w:t>
            </w:r>
          </w:p>
        </w:tc>
        <w:tc>
          <w:tcPr>
            <w:tcW w:w="1896" w:type="dxa"/>
            <w:vMerge w:val="continue"/>
            <w:tcBorders>
              <w:left w:val="single" w:color="auto" w:sz="4" w:space="0"/>
              <w:bottom w:val="single" w:color="auto" w:sz="4" w:space="0"/>
              <w:right w:val="single" w:color="000000" w:sz="4" w:space="0"/>
            </w:tcBorders>
            <w:noWrap/>
            <w:vAlign w:val="center"/>
          </w:tcPr>
          <w:p w14:paraId="02026712">
            <w:pPr>
              <w:widowControl/>
              <w:snapToGrid w:val="0"/>
              <w:spacing w:line="240" w:lineRule="auto"/>
              <w:ind w:left="0" w:leftChars="0" w:right="0" w:rightChars="0" w:firstLine="0" w:firstLineChars="0"/>
              <w:jc w:val="center"/>
              <w:textAlignment w:val="center"/>
              <w:rPr>
                <w:rFonts w:hint="default" w:ascii="宋体" w:hAnsi="宋体" w:eastAsia="宋体" w:cs="宋体"/>
                <w:color w:val="000000"/>
                <w:sz w:val="21"/>
                <w:szCs w:val="21"/>
                <w:lang w:val="en-US" w:eastAsia="zh-CN"/>
              </w:rPr>
            </w:pPr>
          </w:p>
        </w:tc>
        <w:tc>
          <w:tcPr>
            <w:tcW w:w="1296" w:type="dxa"/>
            <w:tcBorders>
              <w:top w:val="single" w:color="auto" w:sz="4" w:space="0"/>
              <w:left w:val="single" w:color="000000" w:sz="4" w:space="0"/>
              <w:bottom w:val="single" w:color="auto" w:sz="4" w:space="0"/>
              <w:right w:val="single" w:color="000000" w:sz="4" w:space="0"/>
            </w:tcBorders>
            <w:vAlign w:val="center"/>
          </w:tcPr>
          <w:p w14:paraId="17426A40">
            <w:pPr>
              <w:widowControl/>
              <w:snapToGrid w:val="0"/>
              <w:spacing w:line="240" w:lineRule="auto"/>
              <w:ind w:left="0" w:leftChars="0" w:right="0" w:rightChars="0" w:firstLine="0" w:firstLineChars="0"/>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接口异常实时监控</w:t>
            </w:r>
          </w:p>
        </w:tc>
        <w:tc>
          <w:tcPr>
            <w:tcW w:w="1596" w:type="dxa"/>
            <w:tcBorders>
              <w:top w:val="single" w:color="auto" w:sz="4" w:space="0"/>
              <w:left w:val="single" w:color="000000" w:sz="4" w:space="0"/>
              <w:bottom w:val="single" w:color="auto" w:sz="4" w:space="0"/>
              <w:right w:val="single" w:color="000000" w:sz="4" w:space="0"/>
            </w:tcBorders>
            <w:vAlign w:val="center"/>
          </w:tcPr>
          <w:p w14:paraId="07B07F7B">
            <w:pPr>
              <w:widowControl/>
              <w:snapToGrid w:val="0"/>
              <w:spacing w:line="240" w:lineRule="auto"/>
              <w:ind w:left="0" w:leftChars="0" w:right="0" w:rightChars="0" w:firstLine="0" w:firstLineChars="0"/>
              <w:jc w:val="center"/>
              <w:textAlignment w:val="center"/>
              <w:rPr>
                <w:rFonts w:hint="default" w:ascii="宋体" w:hAnsi="宋体" w:cs="宋体"/>
                <w:color w:val="000000"/>
                <w:sz w:val="21"/>
                <w:szCs w:val="21"/>
                <w:lang w:val="en-US" w:eastAsia="zh-CN"/>
              </w:rPr>
            </w:pPr>
          </w:p>
        </w:tc>
        <w:tc>
          <w:tcPr>
            <w:tcW w:w="3216" w:type="dxa"/>
            <w:tcBorders>
              <w:top w:val="single" w:color="auto" w:sz="4" w:space="0"/>
              <w:left w:val="single" w:color="000000" w:sz="4" w:space="0"/>
              <w:bottom w:val="single" w:color="auto" w:sz="4" w:space="0"/>
              <w:right w:val="single" w:color="auto" w:sz="4" w:space="0"/>
            </w:tcBorders>
            <w:vAlign w:val="center"/>
          </w:tcPr>
          <w:p w14:paraId="741931AD">
            <w:pPr>
              <w:widowControl/>
              <w:snapToGrid w:val="0"/>
              <w:spacing w:line="240" w:lineRule="auto"/>
              <w:ind w:left="0" w:leftChars="0" w:right="0" w:rightChars="0" w:firstLine="0" w:firstLineChars="0"/>
              <w:jc w:val="both"/>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持续监测程序接口运行状态，异常时及时警报，助力管理员快速处理。</w:t>
            </w:r>
          </w:p>
        </w:tc>
      </w:tr>
    </w:tbl>
    <w:p w14:paraId="4C94B50F">
      <w:pPr>
        <w:rPr>
          <w:rFonts w:hint="default"/>
          <w:lang w:val="en-US" w:eastAsia="zh-CN"/>
        </w:rPr>
      </w:pPr>
    </w:p>
    <w:p w14:paraId="7BAA0785">
      <w:pPr>
        <w:pStyle w:val="4"/>
        <w:numPr>
          <w:ilvl w:val="0"/>
          <w:numId w:val="0"/>
        </w:numPr>
        <w:spacing w:line="400" w:lineRule="exact"/>
        <w:ind w:left="567"/>
        <w:rPr>
          <w:rFonts w:hint="eastAsia"/>
          <w:lang w:val="en-US" w:eastAsia="zh-CN"/>
        </w:rPr>
      </w:pPr>
      <w:r>
        <w:rPr>
          <w:rFonts w:hint="eastAsia" w:cs="黑体" w:asciiTheme="minorEastAsia" w:hAnsiTheme="minorEastAsia" w:eastAsiaTheme="minorEastAsia"/>
          <w:sz w:val="24"/>
          <w:szCs w:val="24"/>
        </w:rPr>
        <w:t>3.1.</w:t>
      </w:r>
      <w:r>
        <w:rPr>
          <w:rFonts w:hint="eastAsia" w:cs="黑体" w:asciiTheme="minorEastAsia" w:hAnsiTheme="minorEastAsia" w:eastAsiaTheme="minorEastAsia"/>
          <w:sz w:val="24"/>
          <w:szCs w:val="24"/>
          <w:lang w:val="en-US" w:eastAsia="zh-CN"/>
        </w:rPr>
        <w:t>8交易数据画像</w:t>
      </w:r>
    </w:p>
    <w:tbl>
      <w:tblPr>
        <w:tblStyle w:val="1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510"/>
        <w:gridCol w:w="1624"/>
        <w:gridCol w:w="1624"/>
        <w:gridCol w:w="3045"/>
      </w:tblGrid>
      <w:tr w14:paraId="58C8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7447">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0B8A">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分项名称</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5F2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模块名称</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215A">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子功能名称</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5AB4">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功能要求</w:t>
            </w:r>
          </w:p>
        </w:tc>
      </w:tr>
      <w:tr w14:paraId="40C2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B60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971A8">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交易项目画像</w:t>
            </w: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D061C">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纵向全景画像</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CE2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业务类型</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E220">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统计展示不同行业类型的项目情况，如数量、金额和占比等。</w:t>
            </w:r>
          </w:p>
        </w:tc>
      </w:tr>
      <w:tr w14:paraId="6AD4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6F7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173C">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2C898">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037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评标办法</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A44C">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统计展示采用不同评标办法、是否评定分离的项目情况，如数量、金额和占比等。</w:t>
            </w:r>
          </w:p>
        </w:tc>
      </w:tr>
      <w:tr w14:paraId="17A0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9374">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2A522">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A51E">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7001">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资格审查方式</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5333">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统计展示采用资格后审项目和资格预审项目的情况。</w:t>
            </w:r>
          </w:p>
        </w:tc>
      </w:tr>
      <w:tr w14:paraId="4D74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1D5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34297">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4199">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3EB5">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异议投诉</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A17F">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统计展示项目异议、投诉的项目情况。</w:t>
            </w:r>
          </w:p>
        </w:tc>
      </w:tr>
      <w:tr w14:paraId="4507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D80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92335">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4762">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2E2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招标方式</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FA28">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统计展示不同招标方式的项目情况。</w:t>
            </w:r>
          </w:p>
        </w:tc>
      </w:tr>
      <w:tr w14:paraId="7E50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BD25">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FEFA">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2366">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2632">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项目类型</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D162">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统计分析工程类、货物类、服务类三种项目类型各类型的成交项目情况。</w:t>
            </w:r>
          </w:p>
        </w:tc>
      </w:tr>
      <w:tr w14:paraId="542C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D994">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C591">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A97C">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F7E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项目流标</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007F">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统计展示项目流标情况。</w:t>
            </w:r>
          </w:p>
        </w:tc>
      </w:tr>
      <w:tr w14:paraId="5C60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34B8">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CA671">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78ED">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DAD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项目规模</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12EE">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统计展示不同规模项目数量、金额以及占比情况。</w:t>
            </w:r>
          </w:p>
        </w:tc>
      </w:tr>
      <w:tr w14:paraId="25E7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AEED">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3BFE">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A6D90">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2BB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招标异常</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5344">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统计分析项目整体的招标异常率，统计各个异常类型下项目情况。</w:t>
            </w:r>
          </w:p>
        </w:tc>
      </w:tr>
      <w:tr w14:paraId="5751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2B24">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B845F">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584AC">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525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保证金缴纳方式</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8423">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统计展示保证金缴纳方式的项目数量、金额情况。</w:t>
            </w:r>
          </w:p>
        </w:tc>
      </w:tr>
      <w:tr w14:paraId="7480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B1EC">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27B0B">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BB3D9">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B10B">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项目交易排行</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57FD">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根据企业类型统计招标人、招标代理、中标人的项目交易排行，根据项目数量和金额统计各企业类型前10名单位信息。</w:t>
            </w:r>
          </w:p>
        </w:tc>
      </w:tr>
      <w:tr w14:paraId="2B6E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3F3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D9380">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09075">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1C02">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项目参与度</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4BC2">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项目参与度：综合分析展示累计项目、参与主体、投标人次、项目时长、节约金额等情况。</w:t>
            </w:r>
          </w:p>
        </w:tc>
      </w:tr>
      <w:tr w14:paraId="5333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55C8">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C647D">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EB248">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纵向专题画像</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187A">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招标人</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2F1F">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统计分析不同企业类型招标项目数量和金额情况。</w:t>
            </w:r>
          </w:p>
        </w:tc>
      </w:tr>
      <w:tr w14:paraId="4926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1A5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FEAE4">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B9456">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E5FC">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招标方式</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8715">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统计在进场、成交和流标条件下各个招标方式下成交项目、成交金额情况。</w:t>
            </w:r>
          </w:p>
        </w:tc>
      </w:tr>
      <w:tr w14:paraId="74FA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71D2">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48A74">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8FA90">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88B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建设地点</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C9A3">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根据项目的建设地点分析统计各区域累计成交项目排行，默认展示区域排名前10名，可手动排序，可拓展展示所有区域的成交项目排名，并计算各区域的成交项目数量和金额的占比情况。</w:t>
            </w:r>
          </w:p>
        </w:tc>
      </w:tr>
      <w:tr w14:paraId="5D96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B424">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C2D4">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B40B6">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5C57">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工程类型</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3F7E">
            <w:pPr>
              <w:keepNext/>
              <w:keepLines w:val="0"/>
              <w:widowControl/>
              <w:suppressLineNumbers w:val="0"/>
              <w:snapToGrid w:val="0"/>
              <w:spacing w:line="240" w:lineRule="auto"/>
              <w:ind w:left="0" w:leftChars="0" w:right="0" w:rightChars="0" w:firstLine="0" w:firstLineChars="0"/>
              <w:jc w:val="both"/>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对工程建设项目的类型进行数据分析。通过图形化的方式，分析并展示不同工程类型的成交项目数量、占比、同比；展示各工程类型的成交项目金额、占比、同比等。</w:t>
            </w:r>
          </w:p>
        </w:tc>
      </w:tr>
      <w:tr w14:paraId="3A05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7AA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8BF8D">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31329">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8EFE">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中标人</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AA9F">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分析统计中标人企业类型，如成交项目数量、金额。通过图形化分析并展示不同类型中标人成交项目情况。</w:t>
            </w:r>
          </w:p>
        </w:tc>
      </w:tr>
      <w:tr w14:paraId="6AFC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5F5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1D80A">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8DBA4">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30F8">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项目规模</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2EC3">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根据进场、成交、流标项目的金额将项目分成不同规模大小区间，统计分析各个项目规模区间项目成交情况。</w:t>
            </w:r>
          </w:p>
        </w:tc>
      </w:tr>
      <w:tr w14:paraId="0D38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5975">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4271">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F86E8">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B34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主体竞争力</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C6F4">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综合分析展示市内外中标人各自的成交项目数量、占比、同比，成交项目金额、占比、同比情况。以及市内外招标代理各自的代理成功项目数量、占比、同比、代理成功项目金额、占比、同比情况。</w:t>
            </w:r>
          </w:p>
        </w:tc>
      </w:tr>
      <w:tr w14:paraId="3847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F0DC">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D5291">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748C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横向对比</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6742">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项目总览对比</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EDD4">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横向对比近三年交易项目的数量、金额以及占比情况。</w:t>
            </w:r>
          </w:p>
        </w:tc>
      </w:tr>
      <w:tr w14:paraId="50A4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DBED">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C9550">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2B4E">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CE2B">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项目异常率对比</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9EED">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横向对比近三年交易项目的整体异常率（包括异议、投诉、流标等）</w:t>
            </w:r>
          </w:p>
        </w:tc>
      </w:tr>
      <w:tr w14:paraId="3E4D1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F932">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F656">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B871">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FC1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评标办法情况对比</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645F">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横向对比近三年交易项目的评标方法应用情况。</w:t>
            </w:r>
          </w:p>
        </w:tc>
      </w:tr>
      <w:tr w14:paraId="57E4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8BE8">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CA8A">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B794">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07D0">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项目情况对比</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432A">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与无锡其他区县、周边地区（昆山、张家港、常熟、太仓）横向比较近三年交易项目数量、金额（可区分行业、招标方式等）。</w:t>
            </w:r>
          </w:p>
        </w:tc>
      </w:tr>
      <w:tr w14:paraId="3D5B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85C7">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3F780">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交易主体画像</w:t>
            </w: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9958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投标人主体画像</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16EF">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注册趋势</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1B29">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根据主体的注册时间统计每个月新增主体数量，分析并以图形化的方式展示投标人主体的新增情况。</w:t>
            </w:r>
          </w:p>
        </w:tc>
      </w:tr>
      <w:tr w14:paraId="4E94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7EF8">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071C2">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82CC0">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F8E1">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注册资本</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CE5E">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统计本地、外地各注册资本区间中投标人主体的数量。以图形化的形式展示投标人主体在各注册区间的数量及占比情况。</w:t>
            </w:r>
          </w:p>
        </w:tc>
      </w:tr>
      <w:tr w14:paraId="731C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4281">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03864">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1DCFB">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AA9B">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单位类型</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B2DD">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各个单位类型下投标单位数量，计算分析各个类型下细分类别的投标人类主体数量和占比情况，包括国有全资、集体全资、股份合作、联营、有限责任、股份有限、私有、其他。同时以图形化的方式，对各投标人主体单位类型数量及占比进行展示。</w:t>
            </w:r>
          </w:p>
        </w:tc>
      </w:tr>
      <w:tr w14:paraId="3D88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59B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E9305">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5EE1">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F391">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工程类型</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1385">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各个工程类型下的投标人主体数量和占比情况。工程建设投标主体分类包括施工单位、勘察单位、设计单位、监理单位、咨询单位、检测单位。同时以图形化的方式展示各个类型下的投标人主体数量和占比情况。</w:t>
            </w:r>
          </w:p>
        </w:tc>
      </w:tr>
      <w:tr w14:paraId="70F8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7E11">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7970B">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4B7D">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E4F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参与度分析</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BC86">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统计不同参与度投标企业的数量和占比情况，以及累计的投标次数、中标次数和中标金额。从频繁投标、多次投标、少量投标、从未投标的维度，对统计数据进行图形化展示。</w:t>
            </w:r>
          </w:p>
        </w:tc>
      </w:tr>
      <w:tr w14:paraId="665D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F7EA">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37A8C">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D381B">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CEA8">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主体报价分布</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E4B0">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根据投标单位对投标项目的报价情况和结果，统计不同得分区间的投标次数、入围次数、中标次数，以图形化的方式展示该得分区间投标、入围、中标的各自次数的占比情况。</w:t>
            </w:r>
          </w:p>
        </w:tc>
      </w:tr>
      <w:tr w14:paraId="1D8D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84E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87FB">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3FB42">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代理机构画像</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5EFD">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单位类型</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9D64">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统计各个单位类型的代理主体单位数量和占比情况，以图形化的方式进行展示。</w:t>
            </w:r>
          </w:p>
        </w:tc>
      </w:tr>
      <w:tr w14:paraId="3FBD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74C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59DB">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D0B78">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5235">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代理频次</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E248">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统计分析本外地企业各个代理次数区间下代理主体数量和占比，从不同档次代理次数区间，对代理主体数量和占比进行图形化的展示。</w:t>
            </w:r>
          </w:p>
        </w:tc>
      </w:tr>
      <w:tr w14:paraId="39FF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1FF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F6FC9">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3F5E7">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657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代理规模</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9C50">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统计分析代理主体数及占比、累计代理项目数量和金额，将项目规模区间分为不同档次，从各维度对数据进行图形化展示。</w:t>
            </w:r>
          </w:p>
        </w:tc>
      </w:tr>
      <w:tr w14:paraId="756F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7CF0">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CB1D7">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C1235">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6542">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节约率</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8A5E">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统计招标代理类主体在各维度的排名情况，分析展示内容包括：主体名称、代理项目金额、节约金额、节约率，并以图形化的方式对数据进行展示。</w:t>
            </w:r>
          </w:p>
        </w:tc>
      </w:tr>
      <w:tr w14:paraId="4E4A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42A5">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9471">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F5EFF">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2EBB">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流标项目</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2991">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统计代理项目中、流标项目代理分布情况，统计0-10宗各个区间的代理主体数量和各自占比情况，并进行图形化展示。</w:t>
            </w:r>
          </w:p>
        </w:tc>
      </w:tr>
      <w:tr w14:paraId="7F80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9561">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D95F">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8210">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E11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投诉项目</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25A0">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统计招标代理主体的投诉项目数量，并进行图形化展示。</w:t>
            </w:r>
          </w:p>
        </w:tc>
      </w:tr>
      <w:tr w14:paraId="2A24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A153">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3A91A">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41125">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F69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主体排行</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F593">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统计招标代理类主体数据，从主体名称、代理项目数量、代理项目金额、节约金额、节约率、成功率、代理效能等各维度对招标代理进行排名，展示前10名单位。</w:t>
            </w:r>
          </w:p>
        </w:tc>
      </w:tr>
      <w:tr w14:paraId="3E47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EC99">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D8F80">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03AC">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评审专家画像</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2D56">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高频抽取</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7A04">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专家的主体数据概况进行分析展示，从高频专家和高频专业两个角度统计分析高频抽取情况，并进行图形化展示。高频专家包括专家姓名、抽取次数、抽取频率分布；高频专业包括专业名称、抽取次数、抽取频率分布。</w:t>
            </w:r>
          </w:p>
        </w:tc>
      </w:tr>
      <w:tr w14:paraId="4A17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BB5B">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58CFB">
            <w:pPr>
              <w:keepNext/>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75ED">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专家评审分析</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D1A1">
            <w:pPr>
              <w:keepNext/>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专家打分倾向性分析</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B444">
            <w:pPr>
              <w:keepNext/>
              <w:keepLines w:val="0"/>
              <w:widowControl/>
              <w:suppressLineNumbers w:val="0"/>
              <w:snapToGrid w:val="0"/>
              <w:spacing w:line="240" w:lineRule="auto"/>
              <w:ind w:left="0" w:leftChars="0" w:right="0" w:righ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通过对专家参与的评标项目打分数据进行分析，对专家打分的偏离率进行图形化展示，挖掘专家与投标人由于利益关联倾向性打高分的行为。</w:t>
            </w:r>
          </w:p>
        </w:tc>
      </w:tr>
    </w:tbl>
    <w:p w14:paraId="6CDF519C">
      <w:pPr>
        <w:ind w:left="0" w:leftChars="0" w:firstLine="0" w:firstLineChars="0"/>
        <w:rPr>
          <w:rFonts w:hint="eastAsia" w:cs="黑体" w:asciiTheme="minorEastAsia" w:hAnsiTheme="minorEastAsia" w:eastAsiaTheme="minorEastAsia"/>
          <w:sz w:val="24"/>
          <w:szCs w:val="24"/>
        </w:rPr>
      </w:pPr>
    </w:p>
    <w:p w14:paraId="0A0DD8B8">
      <w:pPr>
        <w:pStyle w:val="4"/>
        <w:numPr>
          <w:ilvl w:val="0"/>
          <w:numId w:val="0"/>
        </w:numPr>
        <w:spacing w:line="400" w:lineRule="exact"/>
        <w:ind w:left="567"/>
        <w:rPr>
          <w:rFonts w:hint="default"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rPr>
        <w:t>3.1.</w:t>
      </w:r>
      <w:r>
        <w:rPr>
          <w:rFonts w:hint="eastAsia" w:cs="黑体" w:asciiTheme="minorEastAsia" w:hAnsiTheme="minorEastAsia" w:eastAsiaTheme="minorEastAsia"/>
          <w:sz w:val="24"/>
          <w:szCs w:val="24"/>
          <w:lang w:val="en-US" w:eastAsia="zh-CN"/>
        </w:rPr>
        <w:t>9统计专题</w:t>
      </w:r>
    </w:p>
    <w:tbl>
      <w:tblPr>
        <w:tblStyle w:val="1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056"/>
        <w:gridCol w:w="1584"/>
        <w:gridCol w:w="1896"/>
        <w:gridCol w:w="3345"/>
      </w:tblGrid>
      <w:tr w14:paraId="14B6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34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E1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分项名称</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BD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模块名称</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6A4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子功能名称</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04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功能要求</w:t>
            </w:r>
          </w:p>
        </w:tc>
      </w:tr>
      <w:tr w14:paraId="2C56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E16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963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统计专题</w:t>
            </w:r>
          </w:p>
        </w:tc>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17C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统计数据资源中心</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1E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统计数据标准库</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6AED">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包括统计标准梳理、登记、解构、解构审核和后续维护等工作。全面梳理统计工作中涉及的国家标准、行业标准、业务规范，以及各类标准对应的基础信息、附件信息等内容。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标准规范的数量不少于100个，覆盖国家标准、统计行业标准和统计业务规范，建立统计标准库。</w:t>
            </w:r>
          </w:p>
        </w:tc>
      </w:tr>
      <w:tr w14:paraId="5B61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E7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8F6F">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F526">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08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统计元数据库</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B14D">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国家统计云数据管理为依据，梳理2025年企业一套表统计调查制度，覆盖限上产业单位（个体户）定报制度、劳动工资统计报表制度、乡村振兴统计监测一套表、农林牧渔业统计报表。项目实施过程中以2025年企业一套表统计调查制度为主要依据，并补充前10年的差异元数据，建立统计源数据库。</w:t>
            </w:r>
          </w:p>
        </w:tc>
      </w:tr>
      <w:tr w14:paraId="4039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EA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7BE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42E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AD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统计宏观数据库</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FEBA">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面梳理现有宏观数据库专业、用户、地区码，以及39个专业、1.7万多个指标数据，借鉴国家统计局宏观数据库设计理念和国家统计局发布库思想，设计数据存储结构，对统计宏观数据库架构进行重新设计和选型。重新数据指标体系，并将现有宏观数据指标和报表迁移至新的宏观数据库。迁移范围包括39个专业，约1800多张报表，合计报表数量约为1.7万个。</w:t>
            </w:r>
          </w:p>
        </w:tc>
      </w:tr>
      <w:tr w14:paraId="15DE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92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3DB1">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3A31B">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B1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统计发布数据库</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5662">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近10年对外发布的宏观数据并存入发布库，包括（1）月度数据、季度数据、年度数据、部门数据等；（2）年度统计公报、经济普查公报、人口普查公报、农业普查公报等；（3）对外发布的统计月报、季报、年报；（4）对外发布的系统数据简析。</w:t>
            </w:r>
          </w:p>
        </w:tc>
      </w:tr>
      <w:tr w14:paraId="4A5C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167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7FAB">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A20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A0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统计业务资料库</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7B9F">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整理最新的国家统计制度、业务知识、法律法规、重点指标解释等业务资料建设业务资料库。包括（1）整理最新的国家统计制度，纳入统计业务资料库进行统一管理，主要</w:t>
            </w:r>
            <w:r>
              <w:rPr>
                <w:rFonts w:hint="eastAsia" w:ascii="宋体" w:hAnsi="宋体" w:cs="宋体"/>
                <w:i w:val="0"/>
                <w:iCs w:val="0"/>
                <w:color w:val="000000"/>
                <w:kern w:val="0"/>
                <w:sz w:val="21"/>
                <w:szCs w:val="21"/>
                <w:u w:val="none"/>
                <w:lang w:val="en-US" w:eastAsia="zh-CN" w:bidi="ar"/>
              </w:rPr>
              <w:t>内容</w:t>
            </w:r>
            <w:r>
              <w:rPr>
                <w:rFonts w:hint="eastAsia" w:ascii="宋体" w:hAnsi="宋体" w:eastAsia="宋体" w:cs="宋体"/>
                <w:i w:val="0"/>
                <w:iCs w:val="0"/>
                <w:color w:val="000000"/>
                <w:kern w:val="0"/>
                <w:sz w:val="21"/>
                <w:szCs w:val="21"/>
                <w:u w:val="none"/>
                <w:lang w:val="en-US" w:eastAsia="zh-CN" w:bidi="ar"/>
              </w:rPr>
              <w:t>不少于20个统计制度。（2）整理和发布统计相关的热门知识、统计理论、知识问答等内容，包括100个热门知识、100个统计理论和100个知识问答。（3）整理和发布统计相关法律法规；（4）针对重点指标进行解释说明，指标数量不少于200个。</w:t>
            </w:r>
          </w:p>
        </w:tc>
      </w:tr>
      <w:tr w14:paraId="14D9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23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F831">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5CD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统计云门户</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A4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首页</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9E58">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首页包括江阴市统一认证体系整合数据采集系统、江阴市部门一套表系统、普查数据库、江阴经济运行分析平台、能力平台等系统。（2）便捷入口模块，提供系统分类、图标设置、排序等功能，便于用户使用，并根据不同的用户权限显示不同的登录系统。（3）首页头部提供菜单导航功能，可快速导航至其它功能模块。（4）动态轮播图，提供动态轮播图，体现统计局业务特色。</w:t>
            </w:r>
          </w:p>
        </w:tc>
      </w:tr>
      <w:tr w14:paraId="27D8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72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19E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B439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5F2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报表查询</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6652">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报表展示，各类报表的图形化展示，包括柱状图、饼状图、折线图等类型。</w:t>
            </w:r>
          </w:p>
        </w:tc>
      </w:tr>
      <w:tr w14:paraId="6B16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88FC">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192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CEDAB">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406BA">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2295">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数据查询，提供基于报表的数据筛选、排序等功能。</w:t>
            </w:r>
          </w:p>
        </w:tc>
      </w:tr>
      <w:tr w14:paraId="0921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E54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6FE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3354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C1F6">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728F">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支持报表数据导出功能，包括简单报表和复杂报表。</w:t>
            </w:r>
          </w:p>
        </w:tc>
      </w:tr>
      <w:tr w14:paraId="35D4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2B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5DA1">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FB5A">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515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数据指标查询</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1DB3">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包括数据指标检索、指标可视化展示、组合查询、指标收藏与关注等功能。</w:t>
            </w:r>
          </w:p>
        </w:tc>
      </w:tr>
      <w:tr w14:paraId="654C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05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2E66">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C61A">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9D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业务资料</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7422">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提供统计制度、统计标准、统计业务知识、法律法规等业务资料库的查询、在线预览、查看、下载等功能。</w:t>
            </w:r>
          </w:p>
        </w:tc>
      </w:tr>
      <w:tr w14:paraId="62CD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E9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2E83">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EFC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F3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数据产品智能发布</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D641">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基于宏数据库建设成果，内置业务常用的统计产品发布模板，按照周期生成发布数据产品，包括月报、简讯等内容。统计数据产品经审核之后，可一键发布至发布库。</w:t>
            </w:r>
          </w:p>
        </w:tc>
      </w:tr>
      <w:tr w14:paraId="64C8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8E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F4A6">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49B9C">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C0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门户管理端-报表维护</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4256">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统计宏观数据库，使用统计可视化报表能力设计和加工工作平台所需要的报表和图形展示，使用报表维护功能新增、编辑、下架工作平台所展示的常用报表，并支持基于用户和角色的数据权限控制，通过配置决定哪些用户可以查看哪些报表。</w:t>
            </w:r>
          </w:p>
        </w:tc>
      </w:tr>
      <w:tr w14:paraId="1B3D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00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0AF1">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5205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8A6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门户管理端-数据指标维护</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392F">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统计宏观数据库已加工计算的各类统计数据指标，使用数据指标维护功能新增、编辑、下架工作平台所展示的数据指标，支持通过管理功能维护指标的分类体系，支持基于用户和角色的指标权限控制，通过配置决定哪些用户可以查看哪些指标。</w:t>
            </w:r>
          </w:p>
        </w:tc>
      </w:tr>
      <w:tr w14:paraId="7BBC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85F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984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970A">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4A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门户管理端-业务资料库维护</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FDA8">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通过配置的方式将业务资料发布至工作平台，支持业务资料的发布、下架等操作，业务资料包括业务资料库中的各类统计制度、统计业务、统计法律法规、指标解释等内容。</w:t>
            </w:r>
          </w:p>
        </w:tc>
      </w:tr>
      <w:tr w14:paraId="1507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15B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72DA">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EB05">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CC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门户管理端-数据产品</w:t>
            </w:r>
            <w:r>
              <w:rPr>
                <w:rFonts w:hint="eastAsia" w:ascii="宋体" w:hAnsi="宋体" w:cs="宋体"/>
                <w:i w:val="0"/>
                <w:iCs w:val="0"/>
                <w:color w:val="000000"/>
                <w:kern w:val="0"/>
                <w:sz w:val="21"/>
                <w:szCs w:val="21"/>
                <w:u w:val="none"/>
                <w:lang w:val="en-US" w:eastAsia="zh-CN" w:bidi="ar"/>
              </w:rPr>
              <w:t>模板</w:t>
            </w:r>
            <w:r>
              <w:rPr>
                <w:rFonts w:hint="eastAsia" w:ascii="宋体" w:hAnsi="宋体" w:eastAsia="宋体" w:cs="宋体"/>
                <w:i w:val="0"/>
                <w:iCs w:val="0"/>
                <w:color w:val="000000"/>
                <w:kern w:val="0"/>
                <w:sz w:val="21"/>
                <w:szCs w:val="21"/>
                <w:u w:val="none"/>
                <w:lang w:val="en-US" w:eastAsia="zh-CN" w:bidi="ar"/>
              </w:rPr>
              <w:t>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21AF">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内置各类统计数据发布</w:t>
            </w:r>
            <w:r>
              <w:rPr>
                <w:rFonts w:hint="eastAsia" w:ascii="宋体" w:hAnsi="宋体" w:cs="宋体"/>
                <w:i w:val="0"/>
                <w:iCs w:val="0"/>
                <w:color w:val="000000"/>
                <w:kern w:val="0"/>
                <w:sz w:val="21"/>
                <w:szCs w:val="21"/>
                <w:u w:val="none"/>
                <w:lang w:val="en-US" w:eastAsia="zh-CN" w:bidi="ar"/>
              </w:rPr>
              <w:t>模板</w:t>
            </w:r>
            <w:r>
              <w:rPr>
                <w:rFonts w:hint="eastAsia" w:ascii="宋体" w:hAnsi="宋体" w:eastAsia="宋体" w:cs="宋体"/>
                <w:i w:val="0"/>
                <w:iCs w:val="0"/>
                <w:color w:val="000000"/>
                <w:kern w:val="0"/>
                <w:sz w:val="21"/>
                <w:szCs w:val="21"/>
                <w:u w:val="none"/>
                <w:lang w:val="en-US" w:eastAsia="zh-CN" w:bidi="ar"/>
              </w:rPr>
              <w:t>。支持统计数据发布</w:t>
            </w:r>
            <w:r>
              <w:rPr>
                <w:rFonts w:hint="eastAsia" w:ascii="宋体" w:hAnsi="宋体" w:cs="宋体"/>
                <w:i w:val="0"/>
                <w:iCs w:val="0"/>
                <w:color w:val="000000"/>
                <w:kern w:val="0"/>
                <w:sz w:val="21"/>
                <w:szCs w:val="21"/>
                <w:u w:val="none"/>
                <w:lang w:val="en-US" w:eastAsia="zh-CN" w:bidi="ar"/>
              </w:rPr>
              <w:t>模板</w:t>
            </w:r>
            <w:r>
              <w:rPr>
                <w:rFonts w:hint="eastAsia" w:ascii="宋体" w:hAnsi="宋体" w:eastAsia="宋体" w:cs="宋体"/>
                <w:i w:val="0"/>
                <w:iCs w:val="0"/>
                <w:color w:val="000000"/>
                <w:kern w:val="0"/>
                <w:sz w:val="21"/>
                <w:szCs w:val="21"/>
                <w:u w:val="none"/>
                <w:lang w:val="en-US" w:eastAsia="zh-CN" w:bidi="ar"/>
              </w:rPr>
              <w:t>制定、</w:t>
            </w:r>
            <w:r>
              <w:rPr>
                <w:rFonts w:hint="eastAsia" w:ascii="宋体" w:hAnsi="宋体" w:cs="宋体"/>
                <w:i w:val="0"/>
                <w:iCs w:val="0"/>
                <w:color w:val="000000"/>
                <w:kern w:val="0"/>
                <w:sz w:val="21"/>
                <w:szCs w:val="21"/>
                <w:u w:val="none"/>
                <w:lang w:val="en-US" w:eastAsia="zh-CN" w:bidi="ar"/>
              </w:rPr>
              <w:t>模板</w:t>
            </w:r>
            <w:r>
              <w:rPr>
                <w:rFonts w:hint="eastAsia" w:ascii="宋体" w:hAnsi="宋体" w:eastAsia="宋体" w:cs="宋体"/>
                <w:i w:val="0"/>
                <w:iCs w:val="0"/>
                <w:color w:val="000000"/>
                <w:kern w:val="0"/>
                <w:sz w:val="21"/>
                <w:szCs w:val="21"/>
                <w:u w:val="none"/>
                <w:lang w:val="en-US" w:eastAsia="zh-CN" w:bidi="ar"/>
              </w:rPr>
              <w:t>修订、</w:t>
            </w:r>
            <w:r>
              <w:rPr>
                <w:rFonts w:hint="eastAsia" w:ascii="宋体" w:hAnsi="宋体" w:cs="宋体"/>
                <w:i w:val="0"/>
                <w:iCs w:val="0"/>
                <w:color w:val="000000"/>
                <w:kern w:val="0"/>
                <w:sz w:val="21"/>
                <w:szCs w:val="21"/>
                <w:u w:val="none"/>
                <w:lang w:val="en-US" w:eastAsia="zh-CN" w:bidi="ar"/>
              </w:rPr>
              <w:t>模板</w:t>
            </w:r>
            <w:r>
              <w:rPr>
                <w:rFonts w:hint="eastAsia" w:ascii="宋体" w:hAnsi="宋体" w:eastAsia="宋体" w:cs="宋体"/>
                <w:i w:val="0"/>
                <w:iCs w:val="0"/>
                <w:color w:val="000000"/>
                <w:kern w:val="0"/>
                <w:sz w:val="21"/>
                <w:szCs w:val="21"/>
                <w:u w:val="none"/>
                <w:lang w:val="en-US" w:eastAsia="zh-CN" w:bidi="ar"/>
              </w:rPr>
              <w:t>启用/禁用、</w:t>
            </w:r>
            <w:r>
              <w:rPr>
                <w:rFonts w:hint="eastAsia" w:ascii="宋体" w:hAnsi="宋体" w:cs="宋体"/>
                <w:i w:val="0"/>
                <w:iCs w:val="0"/>
                <w:color w:val="000000"/>
                <w:kern w:val="0"/>
                <w:sz w:val="21"/>
                <w:szCs w:val="21"/>
                <w:u w:val="none"/>
                <w:lang w:val="en-US" w:eastAsia="zh-CN" w:bidi="ar"/>
              </w:rPr>
              <w:t>模板</w:t>
            </w:r>
            <w:r>
              <w:rPr>
                <w:rFonts w:hint="eastAsia" w:ascii="宋体" w:hAnsi="宋体" w:eastAsia="宋体" w:cs="宋体"/>
                <w:i w:val="0"/>
                <w:iCs w:val="0"/>
                <w:color w:val="000000"/>
                <w:kern w:val="0"/>
                <w:sz w:val="21"/>
                <w:szCs w:val="21"/>
                <w:u w:val="none"/>
                <w:lang w:val="en-US" w:eastAsia="zh-CN" w:bidi="ar"/>
              </w:rPr>
              <w:t>删除等管理和维护功能。支持针对每个</w:t>
            </w:r>
            <w:r>
              <w:rPr>
                <w:rFonts w:hint="eastAsia" w:ascii="宋体" w:hAnsi="宋体" w:cs="宋体"/>
                <w:i w:val="0"/>
                <w:iCs w:val="0"/>
                <w:color w:val="000000"/>
                <w:kern w:val="0"/>
                <w:sz w:val="21"/>
                <w:szCs w:val="21"/>
                <w:u w:val="none"/>
                <w:lang w:val="en-US" w:eastAsia="zh-CN" w:bidi="ar"/>
              </w:rPr>
              <w:t>模板</w:t>
            </w:r>
            <w:r>
              <w:rPr>
                <w:rFonts w:hint="eastAsia" w:ascii="宋体" w:hAnsi="宋体" w:eastAsia="宋体" w:cs="宋体"/>
                <w:i w:val="0"/>
                <w:iCs w:val="0"/>
                <w:color w:val="000000"/>
                <w:kern w:val="0"/>
                <w:sz w:val="21"/>
                <w:szCs w:val="21"/>
                <w:u w:val="none"/>
                <w:lang w:val="en-US" w:eastAsia="zh-CN" w:bidi="ar"/>
              </w:rPr>
              <w:t>提供生成参数设置，包括区域、时间、专业等。支持在统计数据发布</w:t>
            </w:r>
            <w:r>
              <w:rPr>
                <w:rFonts w:hint="eastAsia" w:ascii="宋体" w:hAnsi="宋体" w:cs="宋体"/>
                <w:i w:val="0"/>
                <w:iCs w:val="0"/>
                <w:color w:val="000000"/>
                <w:kern w:val="0"/>
                <w:sz w:val="21"/>
                <w:szCs w:val="21"/>
                <w:u w:val="none"/>
                <w:lang w:val="en-US" w:eastAsia="zh-CN" w:bidi="ar"/>
              </w:rPr>
              <w:t>模板</w:t>
            </w:r>
            <w:r>
              <w:rPr>
                <w:rFonts w:hint="eastAsia" w:ascii="宋体" w:hAnsi="宋体" w:eastAsia="宋体" w:cs="宋体"/>
                <w:i w:val="0"/>
                <w:iCs w:val="0"/>
                <w:color w:val="000000"/>
                <w:kern w:val="0"/>
                <w:sz w:val="21"/>
                <w:szCs w:val="21"/>
                <w:u w:val="none"/>
                <w:lang w:val="en-US" w:eastAsia="zh-CN" w:bidi="ar"/>
              </w:rPr>
              <w:t>中设置指标，并能够将指标与宏观数据关联。支持定时生成统计发布数据，在宏观数据入库之后，将</w:t>
            </w:r>
            <w:r>
              <w:rPr>
                <w:rFonts w:hint="eastAsia" w:ascii="宋体" w:hAnsi="宋体" w:cs="宋体"/>
                <w:i w:val="0"/>
                <w:iCs w:val="0"/>
                <w:color w:val="000000"/>
                <w:kern w:val="0"/>
                <w:sz w:val="21"/>
                <w:szCs w:val="21"/>
                <w:u w:val="none"/>
                <w:lang w:val="en-US" w:eastAsia="zh-CN" w:bidi="ar"/>
              </w:rPr>
              <w:t>模板</w:t>
            </w:r>
            <w:r>
              <w:rPr>
                <w:rFonts w:hint="eastAsia" w:ascii="宋体" w:hAnsi="宋体" w:eastAsia="宋体" w:cs="宋体"/>
                <w:i w:val="0"/>
                <w:iCs w:val="0"/>
                <w:color w:val="000000"/>
                <w:kern w:val="0"/>
                <w:sz w:val="21"/>
                <w:szCs w:val="21"/>
                <w:u w:val="none"/>
                <w:lang w:val="en-US" w:eastAsia="zh-CN" w:bidi="ar"/>
              </w:rPr>
              <w:t>中的指标替换成实际数据，实现统计产品智能发布功能。</w:t>
            </w:r>
          </w:p>
        </w:tc>
      </w:tr>
      <w:tr w14:paraId="51E2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77F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DBA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CA0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统计数据监测预测模型升级</w:t>
            </w: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1E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动态数据源扩展</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0FC8">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用户可以自定义需要接入的指标的详细内容，包括指标名称，指标内容，存储信息等（库对接）。</w:t>
            </w:r>
          </w:p>
        </w:tc>
      </w:tr>
      <w:tr w14:paraId="0413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EEC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DF17">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A4FD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935C">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8138">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支持通过api接口获取外部经济数据等，提高监测时效性。</w:t>
            </w:r>
          </w:p>
        </w:tc>
      </w:tr>
      <w:tr w14:paraId="7E77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197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0DB1">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21D6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A68C">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F2F8">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支持用户自定义简单的计算公式，计算衍生指标数据。</w:t>
            </w:r>
          </w:p>
        </w:tc>
      </w:tr>
      <w:tr w14:paraId="2E94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890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09C4">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22B47">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0D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模型算法升级</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0BBF">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调整模型参数构成，把部分口径过时的指标进行替换，重新计算综合得分，并且利用历史数据进行连续时序的拟合训练，根据训练结果调整参数，让调整拟合度指数</w:t>
            </w:r>
            <w:r>
              <w:rPr>
                <w:rFonts w:hint="eastAsia" w:ascii="宋体" w:hAnsi="宋体" w:cs="宋体"/>
                <w:i w:val="0"/>
                <w:iCs w:val="0"/>
                <w:color w:val="000000"/>
                <w:kern w:val="0"/>
                <w:sz w:val="21"/>
                <w:szCs w:val="21"/>
                <w:u w:val="none"/>
                <w:lang w:val="en-US" w:eastAsia="zh-CN" w:bidi="ar"/>
              </w:rPr>
              <w:t>达到</w:t>
            </w:r>
            <w:r>
              <w:rPr>
                <w:rFonts w:hint="eastAsia" w:ascii="宋体" w:hAnsi="宋体" w:eastAsia="宋体" w:cs="宋体"/>
                <w:i w:val="0"/>
                <w:iCs w:val="0"/>
                <w:color w:val="000000"/>
                <w:kern w:val="0"/>
                <w:sz w:val="21"/>
                <w:szCs w:val="21"/>
                <w:u w:val="none"/>
                <w:lang w:val="en-US" w:eastAsia="zh-CN" w:bidi="ar"/>
              </w:rPr>
              <w:t>预期值。</w:t>
            </w:r>
          </w:p>
        </w:tc>
      </w:tr>
      <w:tr w14:paraId="2ACD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06B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F21C">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9621">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756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ECB4">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包括如下模型：X11监测模型，X12-ARIMA预警模型，宏观经济年度模型，季节结构，ARIMA模型等。</w:t>
            </w:r>
          </w:p>
        </w:tc>
      </w:tr>
      <w:tr w14:paraId="59E4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C7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729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619B">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ED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专题年度模型深化</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CDF4">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针对宏观经济年度模型进行深化，构建“模型滚动预测”机制，通过模型动态修正年度预测值。</w:t>
            </w:r>
          </w:p>
        </w:tc>
      </w:tr>
      <w:tr w14:paraId="5AEF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BD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2467">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D4F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统计数据标准管理能力</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70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统计标准应用</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F66C">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支持基于关键字全局检索统计数据标准检索，以及查看统计标准的基本信息、附件在线预览、代码集查看等功能。</w:t>
            </w:r>
          </w:p>
        </w:tc>
      </w:tr>
      <w:tr w14:paraId="17E7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63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2D37">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9474F">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DD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统计国家标准管理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0CEE">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支持统计国家标准的新增、修改、删除以及附件管理功能。</w:t>
            </w:r>
          </w:p>
        </w:tc>
      </w:tr>
      <w:tr w14:paraId="3278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11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A613">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B4E7">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80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统计行业标准管理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C1EF">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支持统计行业标准的新增、修改、删除以及附件管理功能。</w:t>
            </w:r>
          </w:p>
        </w:tc>
      </w:tr>
      <w:tr w14:paraId="4FAE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616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AF15">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2E5F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30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统计业务规范管理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C17E">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支持统计业务规范的新增、修改、删除以及附件管理功能。</w:t>
            </w:r>
          </w:p>
        </w:tc>
      </w:tr>
      <w:tr w14:paraId="0C24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CA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3DD5">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450E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54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统计数据标准</w:t>
            </w:r>
            <w:r>
              <w:rPr>
                <w:rFonts w:hint="eastAsia" w:ascii="宋体" w:hAnsi="宋体" w:cs="宋体"/>
                <w:i w:val="0"/>
                <w:iCs w:val="0"/>
                <w:color w:val="000000"/>
                <w:kern w:val="0"/>
                <w:sz w:val="21"/>
                <w:szCs w:val="21"/>
                <w:u w:val="none"/>
                <w:lang w:val="en-US" w:eastAsia="zh-CN" w:bidi="ar"/>
              </w:rPr>
              <w:t>解构管理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984C">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国家标准、行业标准、团体标准、地方标准以及标准规范的代码集解构功能，包括代码的手工新增、编辑、删除、查询等维护操作，批量导入功能，代码集复制功能，批量提交审核功能、拖拽排序功能、标记功能。</w:t>
            </w:r>
          </w:p>
        </w:tc>
      </w:tr>
      <w:tr w14:paraId="6236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71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DF9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E3C7">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200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统计数据标准</w:t>
            </w:r>
            <w:r>
              <w:rPr>
                <w:rFonts w:hint="eastAsia" w:ascii="宋体" w:hAnsi="宋体" w:cs="宋体"/>
                <w:i w:val="0"/>
                <w:iCs w:val="0"/>
                <w:color w:val="000000"/>
                <w:kern w:val="0"/>
                <w:sz w:val="21"/>
                <w:szCs w:val="21"/>
                <w:u w:val="none"/>
                <w:lang w:val="en-US" w:eastAsia="zh-CN" w:bidi="ar"/>
              </w:rPr>
              <w:t>解构</w:t>
            </w:r>
            <w:r>
              <w:rPr>
                <w:rFonts w:hint="eastAsia" w:ascii="宋体" w:hAnsi="宋体" w:eastAsia="宋体" w:cs="宋体"/>
                <w:i w:val="0"/>
                <w:iCs w:val="0"/>
                <w:color w:val="000000"/>
                <w:kern w:val="0"/>
                <w:sz w:val="21"/>
                <w:szCs w:val="21"/>
                <w:u w:val="none"/>
                <w:lang w:val="en-US" w:eastAsia="zh-CN" w:bidi="ar"/>
              </w:rPr>
              <w:t>审核</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0833">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针对已提交审核的代码集或数据元提供审核、驳回、备注驳回意见操作，针对</w:t>
            </w:r>
            <w:r>
              <w:rPr>
                <w:rFonts w:hint="eastAsia" w:ascii="宋体" w:hAnsi="宋体" w:cs="宋体"/>
                <w:i w:val="0"/>
                <w:iCs w:val="0"/>
                <w:color w:val="000000"/>
                <w:kern w:val="0"/>
                <w:sz w:val="21"/>
                <w:szCs w:val="21"/>
                <w:u w:val="none"/>
                <w:lang w:val="en-US" w:eastAsia="zh-CN" w:bidi="ar"/>
              </w:rPr>
              <w:t>审核</w:t>
            </w:r>
            <w:r>
              <w:rPr>
                <w:rFonts w:hint="eastAsia" w:ascii="宋体" w:hAnsi="宋体" w:eastAsia="宋体" w:cs="宋体"/>
                <w:i w:val="0"/>
                <w:iCs w:val="0"/>
                <w:color w:val="000000"/>
                <w:kern w:val="0"/>
                <w:sz w:val="21"/>
                <w:szCs w:val="21"/>
                <w:u w:val="none"/>
                <w:lang w:val="en-US" w:eastAsia="zh-CN" w:bidi="ar"/>
              </w:rPr>
              <w:t>结果的详细查看功能，并能够根据代码集的代码、名称和说明关键字检索，能够查看代码集关联的标准的详细信息。</w:t>
            </w:r>
          </w:p>
        </w:tc>
      </w:tr>
      <w:tr w14:paraId="5FE5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F4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1C1D">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5AF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统计元数据管理能力</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FF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统计元数据检索</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AD16">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包括分类查询、基本信息查看、变更日志等信息。</w:t>
            </w:r>
          </w:p>
        </w:tc>
      </w:tr>
      <w:tr w14:paraId="1042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61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E017">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472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0D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7327">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支持计量单位的查询、新增、删除、编辑等功能，支持同类型之间的计量单位的换算比率设置。</w:t>
            </w:r>
          </w:p>
        </w:tc>
      </w:tr>
      <w:tr w14:paraId="32D9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828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3EEC">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2B488">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EF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统计元数据维护</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EA9F">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支持统计元数据分类管理功能，元数据的添加、删除和修改等编辑操作，以及审核功能。</w:t>
            </w:r>
          </w:p>
        </w:tc>
      </w:tr>
      <w:tr w14:paraId="4BA8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FD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679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609F">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B39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统计元数据映射</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63A6">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基于已发布的统计元数据，根据工业、建筑业、批发和零售业、住宿和餐饮业、规模以上服务业等专业，以及各类报表制度进行报表组装，并将元数据与微观库数据进行关联对应。</w:t>
            </w:r>
          </w:p>
        </w:tc>
      </w:tr>
      <w:tr w14:paraId="59C5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A6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B568">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1BDAD">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FB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衍生指标管理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D7CE">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衍生指标管理，基于统计基础元数据，提供衍生指标的定义、审核和管理功能，衍生指标定义能够设置指标名称、指标类型、计量单位、指标解释等基本属性。</w:t>
            </w:r>
          </w:p>
        </w:tc>
      </w:tr>
      <w:tr w14:paraId="2B19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89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AC9F">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75A43">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5D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复合指标管理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98F4">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支持新增复合指标信息，包括指标名称、指标定义、计算口径等。包括定义、审核和管理功能。</w:t>
            </w:r>
          </w:p>
        </w:tc>
      </w:tr>
      <w:tr w14:paraId="3E51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D1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74F">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1B4D">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1E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自定义分组管理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D774">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支持自定义分组，包括新增自定义分组、设置分组项、设置公式、删除、批量删除、批量移动、添加子项等功能。</w:t>
            </w:r>
          </w:p>
        </w:tc>
      </w:tr>
      <w:tr w14:paraId="0370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78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969A">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197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数据处理能力建设</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FA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统计数据源接入</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0790">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支持数据库和文件接入功能，涵盖统计业务涉及的常用数据库类型，包括ORALCE、MySQL、电子文件等，并支持基于树形结构对数据源分类管理。</w:t>
            </w:r>
          </w:p>
        </w:tc>
      </w:tr>
      <w:tr w14:paraId="68F2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F0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740C">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362B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3C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离线数据归集加工流程</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7566">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基于WEB页面的拖拽式可视化数据流程开发，支持对开发流程进行分组管理。支持基于WEB页面的可视化流程放大、缩小、自适应画布能力、撤销、回退等操作。支持流程复制、页面触发运行测试等功能，内置输入组件、转换组件、输出组件、流程控制组件、脚本组件、连接组件。</w:t>
            </w:r>
          </w:p>
        </w:tc>
      </w:tr>
      <w:tr w14:paraId="3E5C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E92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AF73">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EEF3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2B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微观数据清洗加工流程编排</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12CF">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流程提供可视化任务编排管理，支持流程编排过程撤销、回退、快速复制等功能。内置开始、成功、转换编排、变量设置、邮件配置、FTP上传、FTP下载、FTP删除、FTP移动、备注说明等组件。支持页面触发运行测试功能，可动态输出流程每个步骤的流程日志。</w:t>
            </w:r>
          </w:p>
        </w:tc>
      </w:tr>
      <w:tr w14:paraId="6035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5B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983A">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65D3">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7C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微观数据加工任务管理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7AAE">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加工任务管理，支持清洗任务的检索、查看、编辑、删除、启用/禁用等基本管理功能。</w:t>
            </w:r>
          </w:p>
        </w:tc>
      </w:tr>
      <w:tr w14:paraId="0F4A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41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7EC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4F98">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57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微观数据加工任务日志</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694D">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每次任务执行，记录详细的执行日志，支持对归集任务的执行日志进行统一管理的功能。支持日志信息的列表展示，能够列表查看每个任务的数据量、执行耗时、执行时间、执行状态等参数。日志详情能够显示读、写、更新、输入、输出、舍弃、错误、执行时间等信息。</w:t>
            </w:r>
          </w:p>
        </w:tc>
      </w:tr>
      <w:tr w14:paraId="5A7A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45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4E2A">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5C53">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2A7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清洗转换规则</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AA2B">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转换规则支持列表展示、新增、编辑、禁用、删除操作。内置通用的脱敏规则、字符串填充、字符串补齐、日期格式化、字符串截取、字符串替换、字符串转日期、字符串转数字等通用规则，支持用户自定义各类清洗转换规则。</w:t>
            </w:r>
          </w:p>
        </w:tc>
      </w:tr>
      <w:tr w14:paraId="25AA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CF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B4AB">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7B9A3">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C9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统计分析</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F74A">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支持数据清洗分析</w:t>
            </w:r>
            <w:r>
              <w:rPr>
                <w:rFonts w:hint="eastAsia" w:ascii="宋体" w:hAnsi="宋体" w:cs="宋体"/>
                <w:i w:val="0"/>
                <w:iCs w:val="0"/>
                <w:color w:val="000000"/>
                <w:kern w:val="0"/>
                <w:sz w:val="21"/>
                <w:szCs w:val="21"/>
                <w:u w:val="none"/>
                <w:lang w:val="en-US" w:eastAsia="zh-CN" w:bidi="ar"/>
              </w:rPr>
              <w:t>，对</w:t>
            </w:r>
            <w:r>
              <w:rPr>
                <w:rFonts w:hint="eastAsia" w:ascii="宋体" w:hAnsi="宋体" w:eastAsia="宋体" w:cs="宋体"/>
                <w:i w:val="0"/>
                <w:iCs w:val="0"/>
                <w:color w:val="000000"/>
                <w:kern w:val="0"/>
                <w:sz w:val="21"/>
                <w:szCs w:val="21"/>
                <w:u w:val="none"/>
                <w:lang w:val="en-US" w:eastAsia="zh-CN" w:bidi="ar"/>
              </w:rPr>
              <w:t>数据清洗任务的数据总量以及每日数据量进行统计分析。支持表数据量汇总统计分析，展示当前表数据量的统计信息。</w:t>
            </w:r>
          </w:p>
        </w:tc>
      </w:tr>
      <w:tr w14:paraId="1940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77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9F13">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D3E1">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F1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监控预警</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7342">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任务监控、数据库监控、消息通知配置、联系人管理等功能，支持对数据清洗任务执行耗时、数据量、执行状态等指标进行监控预警；支持设置数据库的监控信息，监控的是该空间下所有数据库的状态；配置监测信息通知机制；配置预警联系人信息。</w:t>
            </w:r>
          </w:p>
        </w:tc>
      </w:tr>
      <w:tr w14:paraId="2C88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6E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705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D5C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统计专业报表建设</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4F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专业数据报表管理功能</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9B2E">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支持数据专业报表列表管理能力，支持基于树形结构的专业数据报表分类管理，自定义维护专业数据报表的主题、分类功能。管理功能包括报表新增、删除、修改、启用/禁用。</w:t>
            </w:r>
          </w:p>
        </w:tc>
      </w:tr>
      <w:tr w14:paraId="0B30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4DE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6628">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94A8">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FE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专业数据报表设计画布</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EABC">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上方为整个报表的操作区域，包括保存、全屏等功能，表格操作包括撤回、反撤回、刷子、字体选择、字体大小、加粗、斜体、下划线、中划线、字体颜色、底色、线框、对齐方式、间距、换行等。（2）左侧为数据来源，用于选择构成汇总表的指标、分组等要素。（3）中间为报表样式编辑区域，编辑汇总表的表样，绘制汇总表的主栏和宾栏。将左侧汇总内容来源区域中的指标、分组，拖动到表样编辑区域中对应的位置，完成汇总表表样的绘制。（4）右侧为单个或批量设置汇总表单元格的各种属性，用于后期准确地生成汇总公式。包括主宾栏设置、属性设置、汇总设置。</w:t>
            </w:r>
          </w:p>
        </w:tc>
      </w:tr>
      <w:tr w14:paraId="51B2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A04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BDB5">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A3427">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BD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表格生成</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B518">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支持基于画布设置表格，作为汇总表格。</w:t>
            </w:r>
          </w:p>
        </w:tc>
      </w:tr>
      <w:tr w14:paraId="4413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65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6BC1">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06F4F">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D2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定制主栏</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BE04">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拖拽的方式将分组设置为主栏，支持多层级设置。在将分组拖至报表时，支持选择条目和选择目录两种形式可选，二者在表样中的列示方式存在差别：在表样中，选择条目将分组的每一个条目列示在多行，选择目录将分组作为一个整体列示在一行。二者也可以实现不同的功能：选择条目可以在弹出的对话框中，选择分组的不同汇总层级。</w:t>
            </w:r>
          </w:p>
        </w:tc>
      </w:tr>
      <w:tr w14:paraId="667E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1E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26B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E26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29E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定制宾栏</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860D">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宾栏分为三种形式：指标的并行排列、包含嵌套和表格拆分。</w:t>
            </w:r>
          </w:p>
        </w:tc>
      </w:tr>
      <w:tr w14:paraId="7AC2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311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49FA">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397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3E0F">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4A13">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并行排列，指将指标或者分组按同一层级并排摆放。直接拖拽指标就可以定制出并行排列的</w:t>
            </w:r>
            <w:r>
              <w:rPr>
                <w:rFonts w:hint="eastAsia" w:ascii="宋体" w:hAnsi="宋体" w:cs="宋体"/>
                <w:i w:val="0"/>
                <w:iCs w:val="0"/>
                <w:color w:val="000000"/>
                <w:kern w:val="0"/>
                <w:sz w:val="21"/>
                <w:szCs w:val="21"/>
                <w:u w:val="none"/>
                <w:lang w:val="en-US" w:eastAsia="zh-CN" w:bidi="ar"/>
              </w:rPr>
              <w:t>宾栏</w:t>
            </w:r>
            <w:r>
              <w:rPr>
                <w:rFonts w:hint="eastAsia" w:ascii="宋体" w:hAnsi="宋体" w:eastAsia="宋体" w:cs="宋体"/>
                <w:i w:val="0"/>
                <w:iCs w:val="0"/>
                <w:color w:val="000000"/>
                <w:kern w:val="0"/>
                <w:sz w:val="21"/>
                <w:szCs w:val="21"/>
                <w:u w:val="none"/>
                <w:lang w:val="en-US" w:eastAsia="zh-CN" w:bidi="ar"/>
              </w:rPr>
              <w:t>指标。</w:t>
            </w:r>
          </w:p>
        </w:tc>
      </w:tr>
      <w:tr w14:paraId="45CC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064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9314">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F7B6">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FBA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F238">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包含嵌套，同时存在合计和分项值的场景，从造型看可以分为正刀和反刀。</w:t>
            </w:r>
          </w:p>
        </w:tc>
      </w:tr>
      <w:tr w14:paraId="3DD5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58A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7F1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61A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9791">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AAD7">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表格拆分</w:t>
            </w:r>
            <w:r>
              <w:rPr>
                <w:rFonts w:hint="eastAsia" w:ascii="宋体" w:hAnsi="宋体" w:cs="宋体"/>
                <w:i w:val="0"/>
                <w:iCs w:val="0"/>
                <w:color w:val="000000"/>
                <w:kern w:val="0"/>
                <w:sz w:val="21"/>
                <w:szCs w:val="21"/>
                <w:u w:val="none"/>
                <w:lang w:val="en-US" w:eastAsia="zh-CN" w:bidi="ar"/>
              </w:rPr>
              <w:t>，选</w:t>
            </w:r>
            <w:r>
              <w:rPr>
                <w:rFonts w:hint="eastAsia" w:ascii="宋体" w:hAnsi="宋体" w:eastAsia="宋体" w:cs="宋体"/>
                <w:i w:val="0"/>
                <w:iCs w:val="0"/>
                <w:color w:val="000000"/>
                <w:kern w:val="0"/>
                <w:sz w:val="21"/>
                <w:szCs w:val="21"/>
                <w:u w:val="none"/>
                <w:lang w:val="en-US" w:eastAsia="zh-CN" w:bidi="ar"/>
              </w:rPr>
              <w:t>择宾栏，然后在右侧主宾栏中的宾栏拆分选择拆分，设置子项数，将指标和分组项拖到</w:t>
            </w:r>
            <w:r>
              <w:rPr>
                <w:rFonts w:hint="eastAsia" w:ascii="宋体" w:hAnsi="宋体" w:cs="宋体"/>
                <w:i w:val="0"/>
                <w:iCs w:val="0"/>
                <w:color w:val="000000"/>
                <w:kern w:val="0"/>
                <w:sz w:val="21"/>
                <w:szCs w:val="21"/>
                <w:u w:val="none"/>
                <w:lang w:val="en-US" w:eastAsia="zh-CN" w:bidi="ar"/>
              </w:rPr>
              <w:t>表格</w:t>
            </w:r>
            <w:r>
              <w:rPr>
                <w:rFonts w:hint="eastAsia" w:ascii="宋体" w:hAnsi="宋体" w:eastAsia="宋体" w:cs="宋体"/>
                <w:i w:val="0"/>
                <w:iCs w:val="0"/>
                <w:color w:val="000000"/>
                <w:kern w:val="0"/>
                <w:sz w:val="21"/>
                <w:szCs w:val="21"/>
                <w:u w:val="none"/>
                <w:lang w:val="en-US" w:eastAsia="zh-CN" w:bidi="ar"/>
              </w:rPr>
              <w:t>对应的位置。</w:t>
            </w:r>
          </w:p>
        </w:tc>
      </w:tr>
      <w:tr w14:paraId="4D30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53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5F06">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D8EAD">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74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辅助功能</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282A">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支持基于统计元数据之间统计口径设置，内置加、减、乘、除、大于、小于、包含</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、且等常用运算符。</w:t>
            </w:r>
          </w:p>
        </w:tc>
      </w:tr>
      <w:tr w14:paraId="0151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CE7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5157">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98B2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2E1D">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02CB">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支持基于统计元数据之间统计口径设置，内置ABS、CEIL、FIND、IF、MAX、MIN、ROUND、SUM、POWER等运算函数。支持根据业务需求自定义函数功能。</w:t>
            </w:r>
          </w:p>
        </w:tc>
      </w:tr>
      <w:tr w14:paraId="4D08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B6B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895C">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E247">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4EF7">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88FB">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支持计量单位转换，如将元转换为万元。</w:t>
            </w:r>
          </w:p>
        </w:tc>
      </w:tr>
      <w:tr w14:paraId="1961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8E5A">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33D3">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9E7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E8E8">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D8A8">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报表启用禁用，提供专业报表的启用、禁用功能，针对设计完成的专业数据报表启用之后，可对用户提供查询功能。禁用的报表无法正常使用。</w:t>
            </w:r>
          </w:p>
        </w:tc>
      </w:tr>
      <w:tr w14:paraId="7436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72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7147">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7DCDD">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4A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汇总公式管理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CC0E">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针对专业报表涉及的汇总公式提供管理和维护功能，能够针对每个单元格涉及的汇总公式提供验证、修改、在线可视化编辑等功能，支持跨表设置计算公式。</w:t>
            </w:r>
          </w:p>
        </w:tc>
      </w:tr>
      <w:tr w14:paraId="07DB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1C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174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3CD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统计数据指标计算能力建设</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BB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1379">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支持对大数据开发过程中使用到的数据（如：csv、txt等）、Spark程序包、Flink程序包等资源进行管理，包括：创建目录、删除目录、上传资源、移动资源和删除资源等功能。</w:t>
            </w:r>
          </w:p>
        </w:tc>
      </w:tr>
      <w:tr w14:paraId="0F1F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644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509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CF2D4">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5A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函数管理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76C3">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支持统一管理HiveUDF函数。包括：新增函数、修改函数和删除函数等操作。</w:t>
            </w:r>
          </w:p>
        </w:tc>
      </w:tr>
      <w:tr w14:paraId="39F9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88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D1A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846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3BC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统计指标计算配置</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1C49">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支持新增基础配置信息，包括流程名称、流程分组、流程描述、关联数据指标。</w:t>
            </w:r>
          </w:p>
        </w:tc>
      </w:tr>
      <w:tr w14:paraId="5A5F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CCB1">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C06C">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001AC">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78BD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55D9">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支持可视化配置、SQL配置两种指标开发方式，配置指标计算公式自动化创建流程。</w:t>
            </w:r>
          </w:p>
        </w:tc>
      </w:tr>
      <w:tr w14:paraId="411D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5D05">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A51C">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1F3AB">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48864">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F2CA">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支持配置开发任务，包括任务名称、高级配置、执行策略、监控指标阈值等。</w:t>
            </w:r>
          </w:p>
        </w:tc>
      </w:tr>
      <w:tr w14:paraId="4B70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82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CE7D">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140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7B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统计指标计算任务管理</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B9F4">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离线开发任务既支持在数据开发时同步创建任务，又支持在开发任务处创建任务，可以配置任务执行策略、监控指标阈值等信息，以支撑任务按需执行，并及时反馈任务执行状态，达到监控效果。</w:t>
            </w:r>
          </w:p>
        </w:tc>
      </w:tr>
      <w:tr w14:paraId="003B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B0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8C4A">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174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F02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统计指标计算任务日志</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6B05">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离线日志支持查看开发任务的执行情况、任务详情，以及流程具体执行日志，并且支持查看任务和流程的失败原因，帮助用户及时定位任务执行失败原因，辅助解决问题。</w:t>
            </w:r>
          </w:p>
        </w:tc>
      </w:tr>
      <w:tr w14:paraId="4CFA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36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736C">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12F3">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3B5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数据指标计算引擎</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02E1">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采用分布式存储架构、分布式计算架构、数据分区等技术，保证数据指标计算的及时性、扩展性和成本优化的需求。</w:t>
            </w:r>
          </w:p>
        </w:tc>
      </w:tr>
      <w:tr w14:paraId="5005E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A9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5029">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D641">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B6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统计指标计算任务监控</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D758">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配置和管理离线任务的监测策略、监控指标、预警方式和预警联系人，支持微信、短信、邮件以及站内消息的预警通知方式，任务出现异常能够及时预警联系人。</w:t>
            </w:r>
          </w:p>
        </w:tc>
      </w:tr>
      <w:tr w14:paraId="456C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1F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D90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9AA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统计数据安全共享能力</w:t>
            </w: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EF6F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统计数据批量共享</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F4CC">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基于WEB页面的拖拽式可视化数据流程开发，支持对开发流程进行分组管理；支持基于WEB页面的可视化流程放大、缩小、自适应画布、撤销、回退、快速复制、触发运行测试，可动态输出流程每个步骤的流程日志。内置输入组件、转换组件、输出组件。</w:t>
            </w:r>
          </w:p>
        </w:tc>
      </w:tr>
      <w:tr w14:paraId="093D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25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F2B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4AF9F">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C2DF">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4736">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批量共享任务的检索、查看、编辑、删除、启用/禁用等基本管理功能。提供对共享任务的执行日志进行统一管理的功能。支持日志信息的列表展示，能够列表查看每个任务的数据量、执行耗时、执行时间、执行状态等参数，并且可以做查看详情、日志等操作。</w:t>
            </w:r>
          </w:p>
        </w:tc>
      </w:tr>
      <w:tr w14:paraId="3BD7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174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F4B5">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70A6">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FB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服务维护</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4D46">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包括服务新增、修改、下线等操作，基于服务维度的并发数和日最大访问量的设置。</w:t>
            </w:r>
          </w:p>
        </w:tc>
      </w:tr>
      <w:tr w14:paraId="2108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9C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0A8A">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04FE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32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自助式API开发</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5502">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视化API功能开发，通过SQL配置完成API的开发工作，包括API基本信息维护、配置输入参数、返回参数等信息，可根据SQL语句自动生成返回示例；支持分页查询、返回总数等参数设置；支持加密传输、返回数据转换配置等功能。</w:t>
            </w:r>
          </w:p>
        </w:tc>
      </w:tr>
      <w:tr w14:paraId="1ADE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3C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8CC2">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07F6">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E3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API文档</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DFF2">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支持根据API接口自动生成API文档，包括API基本信息、调用参数、返回参数等信息。API文档支持下载和在线查看。</w:t>
            </w:r>
          </w:p>
        </w:tc>
      </w:tr>
      <w:tr w14:paraId="1F4D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78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44A1">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17A6">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B1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安全保障</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E36F">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API授权、黑名单、白名单等安全保障机制。（1）支持基于业务主题进行API授权，平台为调用者自动分配公私钥，保障API被安全调用。（2）白名单管理，将API授权给可信终端，白名单IP可直接调用非鉴权接口。（3）黑名单管理，将不合法的服务、API及终端加入平台黑名单，限制其访问。</w:t>
            </w:r>
          </w:p>
        </w:tc>
      </w:tr>
      <w:tr w14:paraId="02F2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02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D4D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9B93">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38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统计数据共享分析</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649F">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支持对数据共享任务的数据总量以及每日数据量进行统计分析。支持按照任务名称、主题分类、部门等方式检索统计分析列表；支持图形化显示数据归集任务近一年每日数据量变化趋势。</w:t>
            </w:r>
          </w:p>
        </w:tc>
      </w:tr>
      <w:tr w14:paraId="6C67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8B9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7D4F">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0F9B">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8F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API集监控</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4D34">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针对API定义测试集，支持测试集的信息维护、API设置、执行策略设置、告警设置、手工监测、删除、监测报告查询等操作，配置API的可用性、响应时间、正确性等监测指标；支持手动触发测试、API测试复制、监测日志查看等功能；支持查看详细的监测日志以及对应各个监测指标是否正常，可图形化展示监测结果趋势。</w:t>
            </w:r>
          </w:p>
        </w:tc>
      </w:tr>
      <w:tr w14:paraId="6C06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9D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AD3E">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92040">
            <w:pPr>
              <w:snapToGrid w:val="0"/>
              <w:spacing w:line="240" w:lineRule="auto"/>
              <w:ind w:left="0" w:leftChars="0" w:right="0" w:rightChars="0" w:firstLine="0" w:firstLineChars="0"/>
              <w:jc w:val="center"/>
              <w:rPr>
                <w:rFonts w:hint="eastAsia" w:ascii="宋体" w:hAnsi="宋体" w:eastAsia="宋体" w:cs="宋体"/>
                <w:i w:val="0"/>
                <w:iCs w:val="0"/>
                <w:color w:val="000000"/>
                <w:sz w:val="21"/>
                <w:szCs w:val="21"/>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00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共享任务监控</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D9FA">
            <w:pPr>
              <w:keepNext w:val="0"/>
              <w:keepLines w:val="0"/>
              <w:widowControl/>
              <w:suppressLineNumbers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支持对数据共享任务监控预警进行统一管理的功能。支持对任务执行耗时、数据量、执行状态等指标进行监控预警；支持任务预警信息的列表展示，并且可以做新增预警、取消预警、编辑等操作。</w:t>
            </w:r>
          </w:p>
        </w:tc>
      </w:tr>
    </w:tbl>
    <w:p w14:paraId="21A975AB">
      <w:pPr>
        <w:pStyle w:val="2"/>
        <w:numPr>
          <w:ilvl w:val="0"/>
          <w:numId w:val="0"/>
        </w:numPr>
        <w:spacing w:line="400" w:lineRule="exact"/>
        <w:rPr>
          <w:rFonts w:hint="eastAsia" w:cs="黑体" w:asciiTheme="minorEastAsia" w:hAnsiTheme="minorEastAsia" w:eastAsiaTheme="minorEastAsia"/>
          <w:sz w:val="24"/>
          <w:szCs w:val="24"/>
        </w:rPr>
      </w:pPr>
      <w:r>
        <w:rPr>
          <w:rFonts w:hint="eastAsia" w:cs="黑体" w:asciiTheme="minorEastAsia" w:hAnsiTheme="minorEastAsia" w:eastAsiaTheme="minorEastAsia"/>
          <w:sz w:val="24"/>
          <w:szCs w:val="24"/>
        </w:rPr>
        <w:t>3.</w:t>
      </w:r>
      <w:r>
        <w:rPr>
          <w:rFonts w:hint="eastAsia" w:cs="黑体" w:asciiTheme="minorEastAsia" w:hAnsiTheme="minorEastAsia" w:eastAsiaTheme="minorEastAsia"/>
          <w:sz w:val="24"/>
          <w:szCs w:val="24"/>
          <w:lang w:val="en-US" w:eastAsia="zh-CN"/>
        </w:rPr>
        <w:t>2数据采购</w:t>
      </w:r>
      <w:r>
        <w:rPr>
          <w:rFonts w:hint="eastAsia" w:cs="黑体" w:asciiTheme="minorEastAsia" w:hAnsiTheme="minorEastAsia" w:eastAsiaTheme="minorEastAsia"/>
          <w:sz w:val="24"/>
          <w:szCs w:val="24"/>
        </w:rPr>
        <w:t>参数</w:t>
      </w:r>
    </w:p>
    <w:tbl>
      <w:tblPr>
        <w:tblStyle w:val="1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7"/>
        <w:gridCol w:w="1711"/>
        <w:gridCol w:w="1713"/>
        <w:gridCol w:w="4068"/>
      </w:tblGrid>
      <w:tr w14:paraId="78E6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633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序号</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2AE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数据大类</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59E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数据小类</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44A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数据表</w:t>
            </w:r>
          </w:p>
        </w:tc>
      </w:tr>
      <w:tr w14:paraId="0974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EC5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125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工商数据</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71C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工商信息</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A7E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公司信息</w:t>
            </w:r>
          </w:p>
        </w:tc>
      </w:tr>
      <w:tr w14:paraId="01D3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7F1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208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541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B8F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公司属性</w:t>
            </w:r>
          </w:p>
        </w:tc>
      </w:tr>
      <w:tr w14:paraId="24EE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E08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654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B7E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667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行业分类</w:t>
            </w:r>
          </w:p>
        </w:tc>
      </w:tr>
      <w:tr w14:paraId="4B80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D6B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3AA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AD6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757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股东信息</w:t>
            </w:r>
          </w:p>
        </w:tc>
      </w:tr>
      <w:tr w14:paraId="79E48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37D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9E4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1C6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F8D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主要人员</w:t>
            </w:r>
          </w:p>
        </w:tc>
      </w:tr>
      <w:tr w14:paraId="15F8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18D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927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976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A1A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分支机构</w:t>
            </w:r>
          </w:p>
        </w:tc>
      </w:tr>
      <w:tr w14:paraId="6D60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CBE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1C5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F6F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F7D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名称变更记录</w:t>
            </w:r>
          </w:p>
        </w:tc>
      </w:tr>
      <w:tr w14:paraId="0A6EC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FB8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FFB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F42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664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变更记录</w:t>
            </w:r>
          </w:p>
        </w:tc>
      </w:tr>
      <w:tr w14:paraId="61C6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FE3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433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B30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D66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企业对外投资</w:t>
            </w:r>
          </w:p>
        </w:tc>
      </w:tr>
      <w:tr w14:paraId="62B3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4BB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D6C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62C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F13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董监高担任法人</w:t>
            </w:r>
          </w:p>
        </w:tc>
      </w:tr>
      <w:tr w14:paraId="4C22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15C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11</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143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EE8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F42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董监高对外投资</w:t>
            </w:r>
          </w:p>
        </w:tc>
      </w:tr>
      <w:tr w14:paraId="5965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CD0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771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884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B32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董监高对外任职</w:t>
            </w:r>
          </w:p>
        </w:tc>
      </w:tr>
      <w:tr w14:paraId="4AC9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F22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13</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3B6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3B4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398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企业LOGO表</w:t>
            </w:r>
          </w:p>
        </w:tc>
      </w:tr>
      <w:tr w14:paraId="7FC6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C65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14</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3BE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C96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6CD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企业最优股比表</w:t>
            </w:r>
          </w:p>
        </w:tc>
      </w:tr>
      <w:tr w14:paraId="23E6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7C0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15</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234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99D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759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企业经纬度</w:t>
            </w:r>
          </w:p>
        </w:tc>
      </w:tr>
      <w:tr w14:paraId="1B91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BE3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16</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545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15E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483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实际控制人</w:t>
            </w:r>
          </w:p>
        </w:tc>
      </w:tr>
      <w:tr w14:paraId="1DAC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7B3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17</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7F6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332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63F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受益所有人</w:t>
            </w:r>
          </w:p>
        </w:tc>
      </w:tr>
      <w:tr w14:paraId="09D6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D57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9A6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258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645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企业划型</w:t>
            </w:r>
          </w:p>
        </w:tc>
      </w:tr>
      <w:tr w14:paraId="5F7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B6D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19</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66E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E4A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A9B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企业注销吊销信息</w:t>
            </w:r>
          </w:p>
        </w:tc>
      </w:tr>
      <w:tr w14:paraId="6BE5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7E2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B4B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64B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经营状况</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5D3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行政许可</w:t>
            </w:r>
          </w:p>
        </w:tc>
      </w:tr>
      <w:tr w14:paraId="140A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11B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21</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578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F2F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BA0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招聘信息</w:t>
            </w:r>
          </w:p>
        </w:tc>
      </w:tr>
      <w:tr w14:paraId="7D39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488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22</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F5D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09C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8B7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抽查检查</w:t>
            </w:r>
          </w:p>
        </w:tc>
      </w:tr>
      <w:tr w14:paraId="27E1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BF4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23</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168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360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7D3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进出口</w:t>
            </w:r>
          </w:p>
        </w:tc>
      </w:tr>
      <w:tr w14:paraId="40D0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A6F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24</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505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F60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A51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税务信用</w:t>
            </w:r>
          </w:p>
        </w:tc>
      </w:tr>
      <w:tr w14:paraId="726B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A20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25</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42D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1F1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经营风险</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A44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行政处罚</w:t>
            </w:r>
          </w:p>
        </w:tc>
      </w:tr>
      <w:tr w14:paraId="7484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864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26</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4DA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C4D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1BC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环保处罚</w:t>
            </w:r>
          </w:p>
        </w:tc>
      </w:tr>
      <w:tr w14:paraId="3A03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CD5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27</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C3D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998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915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经营异常</w:t>
            </w:r>
          </w:p>
        </w:tc>
      </w:tr>
      <w:tr w14:paraId="2CB4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0A6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28</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E40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D91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5DD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严重违法</w:t>
            </w:r>
          </w:p>
        </w:tc>
      </w:tr>
      <w:tr w14:paraId="35FC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6F5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29</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DF0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F6D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3AE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清算信息</w:t>
            </w:r>
          </w:p>
        </w:tc>
      </w:tr>
      <w:tr w14:paraId="7327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229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30</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046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FE7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BAD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动产抵押</w:t>
            </w:r>
          </w:p>
        </w:tc>
      </w:tr>
      <w:tr w14:paraId="60F0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955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31</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B60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546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4B6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土地抵押</w:t>
            </w:r>
          </w:p>
        </w:tc>
      </w:tr>
      <w:tr w14:paraId="4670E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C8F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32</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1DA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544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ABE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土地拍卖</w:t>
            </w:r>
          </w:p>
        </w:tc>
      </w:tr>
      <w:tr w14:paraId="1FA6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812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33</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C8E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A48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EC1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司法拍卖</w:t>
            </w:r>
          </w:p>
        </w:tc>
      </w:tr>
      <w:tr w14:paraId="5706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120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34</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419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686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62E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股权出质</w:t>
            </w:r>
          </w:p>
        </w:tc>
      </w:tr>
      <w:tr w14:paraId="6309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D1C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35</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37F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678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DB7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知识产权出质</w:t>
            </w:r>
          </w:p>
        </w:tc>
      </w:tr>
      <w:tr w14:paraId="02EF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4F4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36</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8CA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B67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804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企业非正常户信息</w:t>
            </w:r>
          </w:p>
        </w:tc>
      </w:tr>
      <w:tr w14:paraId="776B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AF9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342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6A2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465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欠税公告</w:t>
            </w:r>
          </w:p>
        </w:tc>
      </w:tr>
      <w:tr w14:paraId="24F6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849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38</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105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C9E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756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税收违法</w:t>
            </w:r>
          </w:p>
        </w:tc>
      </w:tr>
      <w:tr w14:paraId="19EF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8B1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39</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C06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F72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4A6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简易注销</w:t>
            </w:r>
          </w:p>
        </w:tc>
      </w:tr>
      <w:tr w14:paraId="0A46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459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40</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4B4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6D7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法律诉讼</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D48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立案信息</w:t>
            </w:r>
          </w:p>
        </w:tc>
      </w:tr>
      <w:tr w14:paraId="3BEF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AB5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41</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229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913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857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开庭公告</w:t>
            </w:r>
          </w:p>
        </w:tc>
      </w:tr>
      <w:tr w14:paraId="4872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6D9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42</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AF7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0C0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AFF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法院公告</w:t>
            </w:r>
          </w:p>
        </w:tc>
      </w:tr>
      <w:tr w14:paraId="4B51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79C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43</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B24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450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6F8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裁判文书</w:t>
            </w:r>
          </w:p>
        </w:tc>
      </w:tr>
      <w:tr w14:paraId="3C07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2C2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44</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8FA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5FF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43C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终本案件</w:t>
            </w:r>
          </w:p>
        </w:tc>
      </w:tr>
      <w:tr w14:paraId="0B10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398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45</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679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DBF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F3C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被执行人</w:t>
            </w:r>
          </w:p>
        </w:tc>
      </w:tr>
      <w:tr w14:paraId="45B6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4FD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46</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0C0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E07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B28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失信被执行人</w:t>
            </w:r>
          </w:p>
        </w:tc>
      </w:tr>
      <w:tr w14:paraId="76CA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A57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47</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793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E28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40E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限制高消费</w:t>
            </w:r>
          </w:p>
        </w:tc>
      </w:tr>
      <w:tr w14:paraId="65F6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AE4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48</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972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A92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9D9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司法协助</w:t>
            </w:r>
          </w:p>
        </w:tc>
      </w:tr>
      <w:tr w14:paraId="4B3F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EE0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49</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C3B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1CD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152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破产重整</w:t>
            </w:r>
          </w:p>
        </w:tc>
      </w:tr>
      <w:tr w14:paraId="040A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55B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50</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3E5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969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知识产权</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853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专利基础信息</w:t>
            </w:r>
          </w:p>
        </w:tc>
      </w:tr>
      <w:tr w14:paraId="3310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C3A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51</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367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98C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C32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专利分类信息</w:t>
            </w:r>
          </w:p>
        </w:tc>
      </w:tr>
      <w:tr w14:paraId="48D6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0C9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52</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372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394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D4A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商标信息</w:t>
            </w:r>
          </w:p>
        </w:tc>
      </w:tr>
      <w:tr w14:paraId="2C36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F7C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53</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35B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7B0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E45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软件著作权</w:t>
            </w:r>
          </w:p>
        </w:tc>
      </w:tr>
      <w:tr w14:paraId="398C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C55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54</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E67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D14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C6F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作品著作权</w:t>
            </w:r>
          </w:p>
        </w:tc>
      </w:tr>
      <w:tr w14:paraId="04F8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196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55</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6DA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212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649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网站备案</w:t>
            </w:r>
          </w:p>
        </w:tc>
      </w:tr>
      <w:tr w14:paraId="5C4C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1F4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56</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7D4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0F9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5BC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专利引证</w:t>
            </w:r>
          </w:p>
        </w:tc>
      </w:tr>
      <w:tr w14:paraId="113E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70C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57</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B53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27D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0DB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专利同族</w:t>
            </w:r>
          </w:p>
        </w:tc>
      </w:tr>
      <w:tr w14:paraId="389A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7B5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58</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C98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0BD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ECA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专利许可</w:t>
            </w:r>
          </w:p>
        </w:tc>
      </w:tr>
      <w:tr w14:paraId="78C1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3B7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59</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50A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BC3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BC2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专利转让</w:t>
            </w:r>
          </w:p>
        </w:tc>
      </w:tr>
      <w:tr w14:paraId="1DFB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024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60</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C71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FBC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012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专利诉讼</w:t>
            </w:r>
          </w:p>
        </w:tc>
      </w:tr>
      <w:tr w14:paraId="2A6B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F57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61</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098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B8C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D0A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专利质押</w:t>
            </w:r>
          </w:p>
        </w:tc>
      </w:tr>
      <w:tr w14:paraId="4E74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2BF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62</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96B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1BF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A0D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专利奖</w:t>
            </w:r>
          </w:p>
        </w:tc>
      </w:tr>
      <w:tr w14:paraId="2C2F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8A7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63</w:t>
            </w:r>
          </w:p>
        </w:tc>
        <w:tc>
          <w:tcPr>
            <w:tcW w:w="20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9F0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供应链</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EAA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招投标</w:t>
            </w:r>
          </w:p>
        </w:tc>
      </w:tr>
      <w:tr w14:paraId="5F04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E68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64</w:t>
            </w:r>
          </w:p>
        </w:tc>
        <w:tc>
          <w:tcPr>
            <w:tcW w:w="20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F8D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154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上市发债供应链</w:t>
            </w:r>
          </w:p>
        </w:tc>
      </w:tr>
      <w:tr w14:paraId="194C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D45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65</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2CE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企业标签</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3E8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科技资质</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8EA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高新技术企业</w:t>
            </w:r>
          </w:p>
        </w:tc>
      </w:tr>
      <w:tr w14:paraId="03E6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F66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66</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62E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F15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346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专精特新中小企业</w:t>
            </w:r>
          </w:p>
        </w:tc>
      </w:tr>
      <w:tr w14:paraId="217A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16E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67</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D07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A42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86E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专精特新“小巨人”</w:t>
            </w:r>
          </w:p>
        </w:tc>
      </w:tr>
      <w:tr w14:paraId="7C66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29D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68</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909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BE5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279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科技型中小企业</w:t>
            </w:r>
          </w:p>
        </w:tc>
      </w:tr>
      <w:tr w14:paraId="61DE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BA0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69</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1A5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0C3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3FD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制造业单项冠军企业</w:t>
            </w:r>
          </w:p>
        </w:tc>
      </w:tr>
      <w:tr w14:paraId="2A3E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2D1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70</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7F2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413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2A2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科技小巨人</w:t>
            </w:r>
          </w:p>
        </w:tc>
      </w:tr>
      <w:tr w14:paraId="0747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FD0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71</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142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27D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914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雏鹰企业</w:t>
            </w:r>
          </w:p>
        </w:tc>
      </w:tr>
      <w:tr w14:paraId="7429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084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72</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324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9D9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C6E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瞪羚企业</w:t>
            </w:r>
          </w:p>
        </w:tc>
      </w:tr>
      <w:tr w14:paraId="61C3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DE5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73</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00D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7AA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E28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独角兽企业</w:t>
            </w:r>
          </w:p>
        </w:tc>
      </w:tr>
      <w:tr w14:paraId="083B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DBA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74</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796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351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CF3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企业技术中心</w:t>
            </w:r>
          </w:p>
        </w:tc>
      </w:tr>
      <w:tr w14:paraId="51EAC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B1C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75</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EC6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8DC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035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众创空间</w:t>
            </w:r>
          </w:p>
        </w:tc>
      </w:tr>
      <w:tr w14:paraId="5B67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628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76</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6E0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9F9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E5F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创新型中小企业</w:t>
            </w:r>
          </w:p>
        </w:tc>
      </w:tr>
      <w:tr w14:paraId="7F8C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1F0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77</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6B5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245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F85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技术创新示范企业</w:t>
            </w:r>
          </w:p>
        </w:tc>
      </w:tr>
      <w:tr w14:paraId="42CC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21D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78</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9DA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40D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E8D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工程技术研究中心</w:t>
            </w:r>
          </w:p>
        </w:tc>
      </w:tr>
      <w:tr w14:paraId="4AD1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126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79</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C3A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10F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63B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科技企业孵化器</w:t>
            </w:r>
          </w:p>
        </w:tc>
      </w:tr>
      <w:tr w14:paraId="0AA8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407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80</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1EA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5BD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科技奖项</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4AA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技术发明奖</w:t>
            </w:r>
          </w:p>
        </w:tc>
      </w:tr>
      <w:tr w14:paraId="198D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889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81</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70B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4FC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CEA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科学技术进步奖</w:t>
            </w:r>
          </w:p>
        </w:tc>
      </w:tr>
      <w:tr w14:paraId="0C56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D5A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82</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9A0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C84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标准制定</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3A9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标准信息库</w:t>
            </w:r>
          </w:p>
        </w:tc>
      </w:tr>
      <w:tr w14:paraId="2A25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4E5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83</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B50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8F69">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E074">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标准制定企业</w:t>
            </w:r>
          </w:p>
        </w:tc>
      </w:tr>
      <w:tr w14:paraId="4CF2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BE4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84</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A05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482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资质证照</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881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质量管理体系认证</w:t>
            </w:r>
          </w:p>
        </w:tc>
      </w:tr>
      <w:tr w14:paraId="28E3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CF1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85</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D48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60E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D1E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环境管理体系认证</w:t>
            </w:r>
          </w:p>
        </w:tc>
      </w:tr>
      <w:tr w14:paraId="5A73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6FB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86</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39B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5B7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E9C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职业健康安全管理体系认证</w:t>
            </w:r>
          </w:p>
        </w:tc>
      </w:tr>
      <w:tr w14:paraId="4B40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2E4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87</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B45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3A2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74F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食品农产品管理体系认证</w:t>
            </w:r>
          </w:p>
        </w:tc>
      </w:tr>
      <w:tr w14:paraId="63F6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3B1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88</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B5C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FD6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57F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信息安全管理体系认证</w:t>
            </w:r>
          </w:p>
        </w:tc>
      </w:tr>
      <w:tr w14:paraId="124F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46B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89</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28F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E75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35F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信息技术服务管理体系认证</w:t>
            </w:r>
          </w:p>
        </w:tc>
      </w:tr>
      <w:tr w14:paraId="6005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B3B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90</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D51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BBB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6F9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测量管理体系认证</w:t>
            </w:r>
          </w:p>
        </w:tc>
      </w:tr>
      <w:tr w14:paraId="044B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DBB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91</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370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FEA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4E3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能源管理体系认证</w:t>
            </w:r>
          </w:p>
        </w:tc>
      </w:tr>
      <w:tr w14:paraId="7BE9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741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92</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64B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E2A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BB5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知识产权管理体系认证</w:t>
            </w:r>
          </w:p>
        </w:tc>
      </w:tr>
      <w:tr w14:paraId="3D94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4C4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93</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1CC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672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EE3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食品安全管理体系认证</w:t>
            </w:r>
          </w:p>
        </w:tc>
      </w:tr>
      <w:tr w14:paraId="0F3A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070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94</w:t>
            </w:r>
          </w:p>
        </w:tc>
        <w:tc>
          <w:tcPr>
            <w:tcW w:w="20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45F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金融市场</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5F6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上市公司数据库</w:t>
            </w:r>
          </w:p>
        </w:tc>
      </w:tr>
      <w:tr w14:paraId="33B9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0C4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95</w:t>
            </w:r>
          </w:p>
        </w:tc>
        <w:tc>
          <w:tcPr>
            <w:tcW w:w="20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64F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367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港股数据库</w:t>
            </w:r>
          </w:p>
        </w:tc>
      </w:tr>
      <w:tr w14:paraId="56CA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DA6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96</w:t>
            </w:r>
          </w:p>
        </w:tc>
        <w:tc>
          <w:tcPr>
            <w:tcW w:w="20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CAE6">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投融资</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81E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私募创投</w:t>
            </w:r>
          </w:p>
        </w:tc>
      </w:tr>
      <w:tr w14:paraId="14B8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CF9F">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97</w:t>
            </w:r>
          </w:p>
        </w:tc>
        <w:tc>
          <w:tcPr>
            <w:tcW w:w="20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E57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F07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债券融资</w:t>
            </w:r>
          </w:p>
        </w:tc>
      </w:tr>
      <w:tr w14:paraId="7DF7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26C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98</w:t>
            </w:r>
          </w:p>
        </w:tc>
        <w:tc>
          <w:tcPr>
            <w:tcW w:w="20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510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8CB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信托融资</w:t>
            </w:r>
          </w:p>
        </w:tc>
      </w:tr>
      <w:tr w14:paraId="5A02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6035">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99</w:t>
            </w:r>
          </w:p>
        </w:tc>
        <w:tc>
          <w:tcPr>
            <w:tcW w:w="20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984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A17D">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银行借款</w:t>
            </w:r>
          </w:p>
        </w:tc>
      </w:tr>
      <w:tr w14:paraId="0855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D40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100</w:t>
            </w:r>
          </w:p>
        </w:tc>
        <w:tc>
          <w:tcPr>
            <w:tcW w:w="20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3B8E">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977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银行授信</w:t>
            </w:r>
          </w:p>
        </w:tc>
      </w:tr>
      <w:tr w14:paraId="08DC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3B1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101</w:t>
            </w:r>
          </w:p>
        </w:tc>
        <w:tc>
          <w:tcPr>
            <w:tcW w:w="20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A07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E7D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应收账款融资</w:t>
            </w:r>
          </w:p>
        </w:tc>
      </w:tr>
      <w:tr w14:paraId="1904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5383">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102</w:t>
            </w:r>
          </w:p>
        </w:tc>
        <w:tc>
          <w:tcPr>
            <w:tcW w:w="20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A0CA">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5ED8">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融资租赁</w:t>
            </w:r>
          </w:p>
        </w:tc>
      </w:tr>
      <w:tr w14:paraId="2A53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2F37">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103</w:t>
            </w:r>
          </w:p>
        </w:tc>
        <w:tc>
          <w:tcPr>
            <w:tcW w:w="20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12B2">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86D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其他融资</w:t>
            </w:r>
          </w:p>
        </w:tc>
      </w:tr>
      <w:tr w14:paraId="1332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588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104</w:t>
            </w:r>
          </w:p>
        </w:tc>
        <w:tc>
          <w:tcPr>
            <w:tcW w:w="20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986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其他信息</w:t>
            </w: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8F30">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研报</w:t>
            </w:r>
          </w:p>
        </w:tc>
      </w:tr>
      <w:tr w14:paraId="4884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E2AC">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105</w:t>
            </w:r>
          </w:p>
        </w:tc>
        <w:tc>
          <w:tcPr>
            <w:tcW w:w="20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C59B">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p>
        </w:tc>
        <w:tc>
          <w:tcPr>
            <w:tcW w:w="2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5761">
            <w:pPr>
              <w:keepNext/>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舆情</w:t>
            </w:r>
          </w:p>
        </w:tc>
      </w:tr>
    </w:tbl>
    <w:p w14:paraId="414D20C8">
      <w:pPr>
        <w:pStyle w:val="13"/>
        <w:rPr>
          <w:rFonts w:hint="eastAsia"/>
        </w:rPr>
      </w:pPr>
    </w:p>
    <w:p w14:paraId="7B66DFDE">
      <w:pPr>
        <w:pStyle w:val="2"/>
        <w:numPr>
          <w:ilvl w:val="0"/>
          <w:numId w:val="0"/>
        </w:numPr>
        <w:spacing w:line="400" w:lineRule="exact"/>
      </w:pPr>
      <w:r>
        <w:rPr>
          <w:rFonts w:hint="eastAsia" w:cs="黑体" w:asciiTheme="minorEastAsia" w:hAnsiTheme="minorEastAsia" w:eastAsiaTheme="minorEastAsia"/>
          <w:sz w:val="24"/>
          <w:szCs w:val="24"/>
        </w:rPr>
        <w:t>3.3</w:t>
      </w:r>
      <w:r>
        <w:rPr>
          <w:rFonts w:hint="eastAsia" w:cs="黑体" w:asciiTheme="minorEastAsia" w:hAnsiTheme="minorEastAsia" w:eastAsiaTheme="minorEastAsia"/>
          <w:sz w:val="24"/>
          <w:szCs w:val="24"/>
          <w:lang w:val="en-US" w:eastAsia="zh-CN"/>
        </w:rPr>
        <w:t>数据治理服务</w:t>
      </w:r>
      <w:r>
        <w:rPr>
          <w:rFonts w:hint="eastAsia" w:cs="黑体" w:asciiTheme="minorEastAsia" w:hAnsiTheme="minorEastAsia" w:eastAsiaTheme="minorEastAsia"/>
          <w:sz w:val="24"/>
          <w:szCs w:val="24"/>
        </w:rPr>
        <w:t>参数</w:t>
      </w:r>
    </w:p>
    <w:p w14:paraId="6F128CDC">
      <w:pPr>
        <w:pStyle w:val="4"/>
        <w:numPr>
          <w:ilvl w:val="0"/>
          <w:numId w:val="0"/>
        </w:numPr>
        <w:spacing w:line="400" w:lineRule="exact"/>
        <w:ind w:left="567"/>
        <w:rPr>
          <w:rFonts w:hint="default"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lang w:val="en-US" w:eastAsia="zh-CN"/>
        </w:rPr>
        <w:t>3.3.1服务内容</w:t>
      </w:r>
    </w:p>
    <w:tbl>
      <w:tblPr>
        <w:tblStyle w:val="14"/>
        <w:tblW w:w="4998" w:type="pct"/>
        <w:jc w:val="center"/>
        <w:tblLayout w:type="autofit"/>
        <w:tblCellMar>
          <w:top w:w="0" w:type="dxa"/>
          <w:left w:w="108" w:type="dxa"/>
          <w:bottom w:w="0" w:type="dxa"/>
          <w:right w:w="108" w:type="dxa"/>
        </w:tblCellMar>
      </w:tblPr>
      <w:tblGrid>
        <w:gridCol w:w="687"/>
        <w:gridCol w:w="1147"/>
        <w:gridCol w:w="1229"/>
        <w:gridCol w:w="5456"/>
      </w:tblGrid>
      <w:tr w14:paraId="74FAD8FE">
        <w:tblPrEx>
          <w:tblCellMar>
            <w:top w:w="0" w:type="dxa"/>
            <w:left w:w="108" w:type="dxa"/>
            <w:bottom w:w="0" w:type="dxa"/>
            <w:right w:w="108" w:type="dxa"/>
          </w:tblCellMar>
        </w:tblPrEx>
        <w:trPr>
          <w:trHeight w:val="448" w:hRule="atLeast"/>
          <w:tblHeader/>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D004">
            <w:pPr>
              <w:widowControl/>
              <w:spacing w:line="400" w:lineRule="exact"/>
              <w:ind w:firstLine="0" w:firstLineChars="0"/>
              <w:jc w:val="center"/>
              <w:textAlignment w:val="center"/>
              <w:rPr>
                <w:rFonts w:ascii="宋体" w:hAnsi="宋体" w:cs="宋体"/>
                <w:b/>
                <w:bCs/>
                <w:color w:val="000000"/>
                <w:kern w:val="0"/>
                <w:sz w:val="21"/>
                <w:szCs w:val="21"/>
                <w:lang w:bidi="ar"/>
              </w:rPr>
            </w:pPr>
            <w:r>
              <w:rPr>
                <w:rFonts w:hint="eastAsia" w:ascii="宋体" w:hAnsi="宋体" w:cs="宋体"/>
                <w:b/>
                <w:bCs/>
                <w:color w:val="000000"/>
                <w:kern w:val="0"/>
                <w:sz w:val="21"/>
                <w:szCs w:val="21"/>
                <w:lang w:bidi="ar"/>
              </w:rPr>
              <w:t>序号</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DAD4">
            <w:pPr>
              <w:widowControl/>
              <w:spacing w:line="400" w:lineRule="exact"/>
              <w:ind w:firstLine="0" w:firstLineChars="0"/>
              <w:jc w:val="center"/>
              <w:textAlignment w:val="center"/>
              <w:rPr>
                <w:rFonts w:ascii="宋体" w:hAnsi="宋体" w:cs="宋体"/>
                <w:b/>
                <w:bCs/>
                <w:color w:val="000000"/>
                <w:kern w:val="0"/>
                <w:sz w:val="21"/>
                <w:szCs w:val="21"/>
                <w:lang w:bidi="ar"/>
              </w:rPr>
            </w:pPr>
            <w:r>
              <w:rPr>
                <w:rFonts w:hint="eastAsia" w:ascii="宋体" w:hAnsi="宋体" w:cs="宋体"/>
                <w:b/>
                <w:bCs/>
                <w:color w:val="000000"/>
                <w:kern w:val="0"/>
                <w:sz w:val="21"/>
                <w:szCs w:val="21"/>
                <w:lang w:bidi="ar"/>
              </w:rPr>
              <w:t>分项名称</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CEE3">
            <w:pPr>
              <w:widowControl/>
              <w:spacing w:line="400" w:lineRule="exact"/>
              <w:ind w:firstLine="0" w:firstLineChars="0"/>
              <w:jc w:val="center"/>
              <w:textAlignment w:val="center"/>
              <w:rPr>
                <w:rFonts w:ascii="宋体" w:hAnsi="宋体" w:cs="宋体"/>
                <w:b/>
                <w:bCs/>
                <w:color w:val="000000"/>
                <w:kern w:val="0"/>
                <w:sz w:val="21"/>
                <w:szCs w:val="21"/>
                <w:lang w:bidi="ar"/>
              </w:rPr>
            </w:pPr>
            <w:r>
              <w:rPr>
                <w:rFonts w:hint="eastAsia" w:ascii="宋体" w:hAnsi="宋体" w:cs="宋体"/>
                <w:b/>
                <w:bCs/>
                <w:color w:val="000000"/>
                <w:kern w:val="0"/>
                <w:sz w:val="21"/>
                <w:szCs w:val="21"/>
                <w:lang w:bidi="ar"/>
              </w:rPr>
              <w:t>服务名称</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C87E">
            <w:pPr>
              <w:widowControl/>
              <w:spacing w:line="400" w:lineRule="exact"/>
              <w:ind w:firstLine="0" w:firstLineChars="0"/>
              <w:jc w:val="center"/>
              <w:textAlignment w:val="center"/>
              <w:rPr>
                <w:rFonts w:hint="default" w:ascii="宋体" w:hAnsi="宋体" w:cs="宋体"/>
                <w:b/>
                <w:bCs/>
                <w:color w:val="000000"/>
                <w:kern w:val="0"/>
                <w:sz w:val="21"/>
                <w:szCs w:val="21"/>
                <w:lang w:val="en-US" w:bidi="ar"/>
              </w:rPr>
            </w:pPr>
            <w:r>
              <w:rPr>
                <w:rFonts w:hint="eastAsia" w:ascii="宋体" w:hAnsi="宋体" w:cs="宋体"/>
                <w:b/>
                <w:bCs/>
                <w:color w:val="000000"/>
                <w:kern w:val="0"/>
                <w:sz w:val="21"/>
                <w:szCs w:val="21"/>
                <w:lang w:val="en-US" w:eastAsia="zh-CN" w:bidi="ar"/>
              </w:rPr>
              <w:t>服务内容</w:t>
            </w:r>
          </w:p>
        </w:tc>
      </w:tr>
      <w:tr w14:paraId="6330A88F">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CA3C">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103F0">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数据梳理服务</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8CE8">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数据需求梳理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0066">
            <w:pPr>
              <w:widowControl/>
              <w:spacing w:line="400" w:lineRule="exact"/>
              <w:ind w:firstLine="0" w:firstLineChars="0"/>
              <w:jc w:val="left"/>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精准识别业务侧对经济类数据的核心诉求，通过深度访谈需求部门，提炼典型业务场景，明确数据业务覆盖范围、质量要求、可靠性标准等</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输</w:t>
            </w:r>
            <w:r>
              <w:rPr>
                <w:rFonts w:hint="eastAsia" w:ascii="宋体" w:hAnsi="宋体" w:cs="宋体"/>
                <w:color w:val="000000"/>
                <w:kern w:val="0"/>
                <w:sz w:val="21"/>
                <w:szCs w:val="21"/>
                <w:lang w:eastAsia="zh-CN" w:bidi="ar"/>
              </w:rPr>
              <w:t>出《数据需求清单》。</w:t>
            </w:r>
          </w:p>
        </w:tc>
      </w:tr>
      <w:tr w14:paraId="56A4FEA9">
        <w:tblPrEx>
          <w:tblCellMar>
            <w:top w:w="0" w:type="dxa"/>
            <w:left w:w="108" w:type="dxa"/>
            <w:bottom w:w="0" w:type="dxa"/>
            <w:right w:w="108" w:type="dxa"/>
          </w:tblCellMar>
        </w:tblPrEx>
        <w:trPr>
          <w:trHeight w:val="78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B43F">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C6B7B">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C78A">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调研范围梳理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C5A4">
            <w:pPr>
              <w:widowControl/>
              <w:spacing w:line="400" w:lineRule="exact"/>
              <w:ind w:firstLine="0" w:firstLineChars="0"/>
              <w:jc w:val="left"/>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要求明确数据调研范围边界，界定数据权责归属，梳理数据权属方、管理方、使用方的职责关系</w:t>
            </w:r>
            <w:r>
              <w:rPr>
                <w:rFonts w:hint="eastAsia" w:ascii="宋体" w:hAnsi="宋体" w:cs="宋体"/>
                <w:color w:val="000000"/>
                <w:kern w:val="0"/>
                <w:sz w:val="21"/>
                <w:szCs w:val="21"/>
                <w:lang w:eastAsia="zh-CN" w:bidi="ar"/>
              </w:rPr>
              <w:t>，输出《数据调研范围清单》。</w:t>
            </w:r>
          </w:p>
        </w:tc>
      </w:tr>
      <w:tr w14:paraId="1F4C1626">
        <w:tblPrEx>
          <w:tblCellMar>
            <w:top w:w="0" w:type="dxa"/>
            <w:left w:w="108" w:type="dxa"/>
            <w:bottom w:w="0" w:type="dxa"/>
            <w:right w:w="108" w:type="dxa"/>
          </w:tblCellMar>
        </w:tblPrEx>
        <w:trPr>
          <w:trHeight w:val="144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490E">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3</w:t>
            </w: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A089E">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48EF">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调研实施</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92BE">
            <w:pPr>
              <w:widowControl/>
              <w:spacing w:line="400" w:lineRule="exact"/>
              <w:ind w:firstLine="0" w:firstLineChars="0"/>
              <w:jc w:val="left"/>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要求制定详细调研计划，组织专业团队开展现场调研，覆盖市监、工信等10个以上相关部门及数据外采商，全面生成数据属性信息及后续维护更新所需信息</w:t>
            </w:r>
            <w:r>
              <w:rPr>
                <w:rFonts w:hint="eastAsia" w:ascii="宋体" w:hAnsi="宋体" w:cs="宋体"/>
                <w:color w:val="000000"/>
                <w:kern w:val="0"/>
                <w:sz w:val="21"/>
                <w:szCs w:val="21"/>
                <w:lang w:eastAsia="zh-CN" w:bidi="ar"/>
              </w:rPr>
              <w:t>，输出《数据调研计划》《数据调研报告》。</w:t>
            </w:r>
          </w:p>
        </w:tc>
      </w:tr>
      <w:tr w14:paraId="45F5B335">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0118">
            <w:pPr>
              <w:widowControl/>
              <w:spacing w:line="400" w:lineRule="exact"/>
              <w:ind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2336E">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BA87">
            <w:pPr>
              <w:widowControl/>
              <w:spacing w:line="400" w:lineRule="exact"/>
              <w:ind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数据盘点</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9E48">
            <w:pPr>
              <w:widowControl/>
              <w:spacing w:line="400" w:lineRule="exact"/>
              <w:ind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要求围绕“企业唯一标识”核心，建立完整的数据资产台账，逐系统登记企业数据的属性定义、存量规模、更新频率及数据来源，为数据治理及问题溯源提供基础支撑</w:t>
            </w:r>
            <w:r>
              <w:rPr>
                <w:rFonts w:hint="eastAsia" w:ascii="宋体" w:hAnsi="宋体" w:cs="宋体"/>
                <w:color w:val="000000"/>
                <w:kern w:val="0"/>
                <w:sz w:val="21"/>
                <w:szCs w:val="21"/>
                <w:lang w:eastAsia="zh-CN" w:bidi="ar"/>
              </w:rPr>
              <w:t>，形成一份《数据资产台账》。</w:t>
            </w:r>
          </w:p>
        </w:tc>
      </w:tr>
      <w:tr w14:paraId="0C7535D3">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6465">
            <w:pPr>
              <w:widowControl/>
              <w:spacing w:line="400" w:lineRule="exact"/>
              <w:ind w:firstLine="0" w:firstLineChars="0"/>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val="en-US" w:eastAsia="zh-CN" w:bidi="ar"/>
              </w:rPr>
              <w:t>5</w:t>
            </w: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7F8E">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7671">
            <w:pPr>
              <w:widowControl/>
              <w:spacing w:line="400" w:lineRule="exact"/>
              <w:ind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数据</w:t>
            </w:r>
            <w:r>
              <w:rPr>
                <w:rFonts w:hint="eastAsia" w:ascii="宋体" w:hAnsi="宋体" w:cs="宋体"/>
                <w:color w:val="000000"/>
                <w:kern w:val="0"/>
                <w:sz w:val="21"/>
                <w:szCs w:val="21"/>
                <w:lang w:val="en-US" w:eastAsia="zh-CN" w:bidi="ar"/>
              </w:rPr>
              <w:t>对接</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7775">
            <w:pPr>
              <w:widowControl/>
              <w:spacing w:line="400" w:lineRule="exact"/>
              <w:ind w:left="0" w:leftChars="0" w:firstLine="0" w:firstLineChars="0"/>
              <w:jc w:val="both"/>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通过调研梳理，确定治理服务过程中的数据对接规范，包括数据对接的各类角色、对接流程、对接数据要求等。</w:t>
            </w:r>
          </w:p>
        </w:tc>
      </w:tr>
      <w:tr w14:paraId="18D46B7F">
        <w:tblPrEx>
          <w:tblCellMar>
            <w:top w:w="0" w:type="dxa"/>
            <w:left w:w="108" w:type="dxa"/>
            <w:bottom w:w="0" w:type="dxa"/>
            <w:right w:w="108" w:type="dxa"/>
          </w:tblCellMar>
        </w:tblPrEx>
        <w:trPr>
          <w:trHeight w:val="243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68FC">
            <w:pPr>
              <w:widowControl/>
              <w:spacing w:line="400" w:lineRule="exact"/>
              <w:ind w:firstLine="0" w:firstLineChars="0"/>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val="en-US" w:eastAsia="zh-CN" w:bidi="ar"/>
              </w:rPr>
              <w:t>6</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DDB75">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数据治理标准规范服务</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4E49">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优化完善类规范制定</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2690">
            <w:pPr>
              <w:widowControl/>
              <w:spacing w:line="400" w:lineRule="exact"/>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1、要求编制《一企一档数据元规范》：梳理各部门行业标准，结合本省《政务大数据数据元规范》，形成包含1000个标准数据元的规范文档。</w:t>
            </w:r>
          </w:p>
          <w:p w14:paraId="23E2120A">
            <w:pPr>
              <w:widowControl/>
              <w:spacing w:line="400" w:lineRule="exact"/>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2、要求制定《两云平台数据异议处理细则》：明确异议数据发现、反馈、处理流程，制定不同环节的异议处理方法。</w:t>
            </w:r>
          </w:p>
          <w:p w14:paraId="289CC732">
            <w:pPr>
              <w:widowControl/>
              <w:spacing w:line="400" w:lineRule="exact"/>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3、要求制定《两云平台数据目录编制规范》：完善数据资源目录标准、管理及操作规范。</w:t>
            </w:r>
          </w:p>
          <w:p w14:paraId="2D6421DE">
            <w:pPr>
              <w:widowControl/>
              <w:spacing w:line="400" w:lineRule="exact"/>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4、要求制定《两云平台数据分类分级规范》：优化分类分级规则、实施流程及管控措施。</w:t>
            </w:r>
          </w:p>
        </w:tc>
      </w:tr>
      <w:tr w14:paraId="17F508BC">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6FAC">
            <w:pPr>
              <w:widowControl/>
              <w:spacing w:line="400" w:lineRule="exact"/>
              <w:ind w:firstLine="0" w:firstLineChars="0"/>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val="en-US" w:eastAsia="zh-CN" w:bidi="ar"/>
              </w:rPr>
              <w:t>7</w:t>
            </w: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934E">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B2A6">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新增制定类规范制定</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762D">
            <w:pPr>
              <w:widowControl/>
              <w:spacing w:line="400" w:lineRule="exact"/>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要求制定《两云平台数据质量管理规范》：明确数据质量管理规则、方法、流程；界定各方数据质量管理责任，确定跨部门数据质量问题协调议事规则，制定多源数据唯一性认定规则。</w:t>
            </w:r>
          </w:p>
        </w:tc>
      </w:tr>
      <w:tr w14:paraId="53A8E1D3">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E169">
            <w:pPr>
              <w:widowControl/>
              <w:spacing w:line="400" w:lineRule="exact"/>
              <w:ind w:firstLine="0" w:firstLineChars="0"/>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val="en-US" w:eastAsia="zh-CN" w:bidi="ar"/>
              </w:rPr>
              <w:t>8</w:t>
            </w:r>
          </w:p>
        </w:tc>
        <w:tc>
          <w:tcPr>
            <w:tcW w:w="673" w:type="pct"/>
            <w:vMerge w:val="restart"/>
            <w:tcBorders>
              <w:top w:val="single" w:color="000000" w:sz="4" w:space="0"/>
              <w:left w:val="single" w:color="000000" w:sz="4" w:space="0"/>
              <w:right w:val="single" w:color="000000" w:sz="4" w:space="0"/>
            </w:tcBorders>
            <w:shd w:val="clear" w:color="auto" w:fill="auto"/>
            <w:vAlign w:val="center"/>
          </w:tcPr>
          <w:p w14:paraId="1A1D8809">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原始库和中心标准库治理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2A8F">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原始库治理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71B8">
            <w:pPr>
              <w:widowControl/>
              <w:spacing w:line="400" w:lineRule="exact"/>
              <w:ind w:firstLine="0" w:firstLineChars="0"/>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建立不少于500个原始库数据模型，</w:t>
            </w:r>
            <w:r>
              <w:rPr>
                <w:rFonts w:hint="eastAsia" w:ascii="宋体" w:hAnsi="宋体" w:cs="宋体"/>
                <w:color w:val="000000"/>
                <w:kern w:val="0"/>
                <w:sz w:val="21"/>
                <w:szCs w:val="21"/>
                <w:lang w:bidi="ar"/>
              </w:rPr>
              <w:t>支持对原始数据库进行全面清理，处理数据冗余、缺失、错误等问题；要求建立原始数据接入标准，保障后续数据接入的规范性</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输出《数据探查报告》</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实现常态化更新。</w:t>
            </w:r>
          </w:p>
        </w:tc>
      </w:tr>
      <w:tr w14:paraId="125721EC">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D61D">
            <w:pPr>
              <w:widowControl/>
              <w:spacing w:line="400" w:lineRule="exact"/>
              <w:ind w:firstLine="0" w:firstLineChars="0"/>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val="en-US" w:eastAsia="zh-CN" w:bidi="ar"/>
              </w:rPr>
              <w:t>9</w:t>
            </w:r>
          </w:p>
        </w:tc>
        <w:tc>
          <w:tcPr>
            <w:tcW w:w="673" w:type="pct"/>
            <w:vMerge w:val="continue"/>
            <w:tcBorders>
              <w:left w:val="single" w:color="000000" w:sz="4" w:space="0"/>
              <w:bottom w:val="single" w:color="auto" w:sz="4" w:space="0"/>
              <w:right w:val="single" w:color="000000" w:sz="4" w:space="0"/>
            </w:tcBorders>
            <w:shd w:val="clear" w:color="auto" w:fill="auto"/>
            <w:vAlign w:val="center"/>
          </w:tcPr>
          <w:p w14:paraId="6D4868B7">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auto" w:sz="4" w:space="0"/>
              <w:right w:val="single" w:color="000000" w:sz="4" w:space="0"/>
            </w:tcBorders>
            <w:shd w:val="clear" w:color="auto" w:fill="auto"/>
            <w:vAlign w:val="center"/>
          </w:tcPr>
          <w:p w14:paraId="62BBCBDC">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中心标准库治理</w:t>
            </w:r>
          </w:p>
        </w:tc>
        <w:tc>
          <w:tcPr>
            <w:tcW w:w="3201" w:type="pct"/>
            <w:tcBorders>
              <w:top w:val="single" w:color="000000" w:sz="4" w:space="0"/>
              <w:left w:val="single" w:color="000000" w:sz="4" w:space="0"/>
              <w:bottom w:val="single" w:color="auto" w:sz="4" w:space="0"/>
              <w:right w:val="single" w:color="000000" w:sz="4" w:space="0"/>
            </w:tcBorders>
            <w:shd w:val="clear" w:color="auto" w:fill="auto"/>
            <w:vAlign w:val="center"/>
          </w:tcPr>
          <w:p w14:paraId="44F869E1">
            <w:pPr>
              <w:widowControl/>
              <w:spacing w:line="400" w:lineRule="exact"/>
              <w:ind w:firstLine="0" w:firstLineChars="0"/>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要求基于数据治理标准规范，构建</w:t>
            </w:r>
            <w:r>
              <w:rPr>
                <w:rFonts w:hint="eastAsia" w:ascii="宋体" w:hAnsi="宋体" w:cs="宋体"/>
                <w:color w:val="000000"/>
                <w:kern w:val="0"/>
                <w:sz w:val="21"/>
                <w:szCs w:val="21"/>
                <w:lang w:val="en-US" w:eastAsia="zh-CN" w:bidi="ar"/>
              </w:rPr>
              <w:t>不少于500个</w:t>
            </w:r>
            <w:r>
              <w:rPr>
                <w:rFonts w:hint="eastAsia" w:ascii="宋体" w:hAnsi="宋体" w:cs="宋体"/>
                <w:color w:val="000000"/>
                <w:kern w:val="0"/>
                <w:sz w:val="21"/>
                <w:szCs w:val="21"/>
                <w:lang w:bidi="ar"/>
              </w:rPr>
              <w:t>标准</w:t>
            </w:r>
            <w:r>
              <w:rPr>
                <w:rFonts w:hint="eastAsia" w:ascii="宋体" w:hAnsi="宋体" w:cs="宋体"/>
                <w:color w:val="000000"/>
                <w:kern w:val="0"/>
                <w:sz w:val="21"/>
                <w:szCs w:val="21"/>
                <w:lang w:val="en-US" w:eastAsia="zh-CN" w:bidi="ar"/>
              </w:rPr>
              <w:t>表</w:t>
            </w:r>
            <w:r>
              <w:rPr>
                <w:rFonts w:hint="eastAsia" w:ascii="宋体" w:hAnsi="宋体" w:cs="宋体"/>
                <w:color w:val="000000"/>
                <w:kern w:val="0"/>
                <w:sz w:val="21"/>
                <w:szCs w:val="21"/>
                <w:lang w:bidi="ar"/>
              </w:rPr>
              <w:t>数据模型；实现</w:t>
            </w:r>
            <w:r>
              <w:rPr>
                <w:rFonts w:hint="eastAsia" w:ascii="宋体" w:hAnsi="宋体" w:cs="宋体"/>
                <w:color w:val="000000"/>
                <w:kern w:val="0"/>
                <w:sz w:val="21"/>
                <w:szCs w:val="21"/>
                <w:lang w:val="en-US" w:eastAsia="zh-CN" w:bidi="ar"/>
              </w:rPr>
              <w:t>数据元标准化，</w:t>
            </w:r>
            <w:r>
              <w:rPr>
                <w:rFonts w:hint="eastAsia" w:ascii="宋体" w:hAnsi="宋体" w:cs="宋体"/>
                <w:color w:val="000000"/>
                <w:kern w:val="0"/>
                <w:sz w:val="21"/>
                <w:szCs w:val="21"/>
                <w:lang w:bidi="ar"/>
              </w:rPr>
              <w:t>数据</w:t>
            </w:r>
            <w:r>
              <w:rPr>
                <w:rFonts w:hint="eastAsia" w:ascii="宋体" w:hAnsi="宋体" w:cs="宋体"/>
                <w:color w:val="000000"/>
                <w:kern w:val="0"/>
                <w:sz w:val="21"/>
                <w:szCs w:val="21"/>
                <w:lang w:val="en-US" w:eastAsia="zh-CN" w:bidi="ar"/>
              </w:rPr>
              <w:t>清洗和</w:t>
            </w:r>
            <w:r>
              <w:rPr>
                <w:rFonts w:hint="eastAsia" w:ascii="宋体" w:hAnsi="宋体" w:cs="宋体"/>
                <w:color w:val="000000"/>
                <w:kern w:val="0"/>
                <w:sz w:val="21"/>
                <w:szCs w:val="21"/>
                <w:lang w:bidi="ar"/>
              </w:rPr>
              <w:t>标准化转换，确保数据格式、编码、含义的一致性；建立中心标准库数据质量监控机制，</w:t>
            </w:r>
            <w:r>
              <w:rPr>
                <w:rFonts w:hint="eastAsia" w:ascii="宋体" w:hAnsi="宋体" w:cs="宋体"/>
                <w:color w:val="000000"/>
                <w:kern w:val="0"/>
                <w:sz w:val="21"/>
                <w:szCs w:val="21"/>
                <w:lang w:val="en-US" w:eastAsia="zh-CN" w:bidi="ar"/>
              </w:rPr>
              <w:t>配置数据质量稽核规则，</w:t>
            </w:r>
            <w:r>
              <w:rPr>
                <w:rFonts w:hint="eastAsia" w:ascii="宋体" w:hAnsi="宋体" w:cs="宋体"/>
                <w:color w:val="000000"/>
                <w:kern w:val="0"/>
                <w:sz w:val="21"/>
                <w:szCs w:val="21"/>
                <w:lang w:bidi="ar"/>
              </w:rPr>
              <w:t>定期开展质量检查</w:t>
            </w:r>
            <w:r>
              <w:rPr>
                <w:rFonts w:hint="eastAsia" w:ascii="宋体" w:hAnsi="宋体" w:cs="宋体"/>
                <w:color w:val="000000"/>
                <w:kern w:val="0"/>
                <w:sz w:val="21"/>
                <w:szCs w:val="21"/>
                <w:lang w:val="en-US" w:eastAsia="zh-CN" w:bidi="ar"/>
              </w:rPr>
              <w:t>服务</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开展标准数据集与外采数据的比对分析，输出《底层数据清单》；保障常态化更新，支持异议数据处理，实现元数据管理，形成常态化更新的《数据资源管理表》《数据血缘关系清单》，《数据字典》。</w:t>
            </w:r>
          </w:p>
        </w:tc>
      </w:tr>
      <w:tr w14:paraId="6303EAC4">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auto" w:sz="4" w:space="0"/>
            </w:tcBorders>
            <w:shd w:val="clear" w:color="auto" w:fill="auto"/>
            <w:vAlign w:val="center"/>
          </w:tcPr>
          <w:p w14:paraId="501D9A4E">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10</w:t>
            </w:r>
          </w:p>
        </w:tc>
        <w:tc>
          <w:tcPr>
            <w:tcW w:w="6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D8A40">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一企一档主题库数据治理</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3B33DEE4">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一企一档主题库</w:t>
            </w:r>
          </w:p>
        </w:tc>
        <w:tc>
          <w:tcPr>
            <w:tcW w:w="3201" w:type="pct"/>
            <w:tcBorders>
              <w:top w:val="single" w:color="auto" w:sz="4" w:space="0"/>
              <w:left w:val="single" w:color="auto" w:sz="4" w:space="0"/>
              <w:bottom w:val="single" w:color="auto" w:sz="4" w:space="0"/>
              <w:right w:val="single" w:color="auto" w:sz="4" w:space="0"/>
            </w:tcBorders>
            <w:shd w:val="clear" w:color="auto" w:fill="auto"/>
            <w:vAlign w:val="center"/>
          </w:tcPr>
          <w:p w14:paraId="56DAFEED">
            <w:pPr>
              <w:widowControl/>
              <w:spacing w:line="400" w:lineRule="exact"/>
              <w:ind w:firstLine="0" w:firstLineChars="0"/>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围绕“一企一档”业务主题</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汇聚</w:t>
            </w:r>
            <w:r>
              <w:rPr>
                <w:rFonts w:hint="eastAsia" w:ascii="宋体" w:hAnsi="宋体" w:cs="宋体"/>
                <w:color w:val="000000"/>
                <w:kern w:val="0"/>
                <w:sz w:val="21"/>
                <w:szCs w:val="21"/>
                <w:lang w:bidi="ar"/>
              </w:rPr>
              <w:t>整合多源企业数据，</w:t>
            </w:r>
            <w:r>
              <w:rPr>
                <w:rFonts w:hint="eastAsia" w:ascii="宋体" w:hAnsi="宋体" w:cs="宋体"/>
                <w:color w:val="000000"/>
                <w:kern w:val="0"/>
                <w:sz w:val="21"/>
                <w:szCs w:val="21"/>
                <w:lang w:val="en-US" w:eastAsia="zh-CN" w:bidi="ar"/>
              </w:rPr>
              <w:t>通过数据建模、抽取、融合治理，构建</w:t>
            </w:r>
            <w:r>
              <w:rPr>
                <w:rFonts w:hint="eastAsia" w:ascii="宋体" w:hAnsi="宋体" w:cs="宋体"/>
                <w:color w:val="000000"/>
                <w:kern w:val="0"/>
                <w:sz w:val="21"/>
                <w:szCs w:val="21"/>
                <w:lang w:bidi="ar"/>
              </w:rPr>
              <w:t>专题数据模型</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覆盖企业基本信息、经营状况、经营风险等81个主题表。</w:t>
            </w:r>
          </w:p>
        </w:tc>
      </w:tr>
      <w:tr w14:paraId="3E2D905B">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auto" w:sz="4" w:space="0"/>
            </w:tcBorders>
            <w:shd w:val="clear" w:color="auto" w:fill="auto"/>
            <w:vAlign w:val="center"/>
          </w:tcPr>
          <w:p w14:paraId="6A8248A8">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p>
        </w:tc>
        <w:tc>
          <w:tcPr>
            <w:tcW w:w="6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114E2">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418C6FC9">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val="en-US" w:eastAsia="zh-CN" w:bidi="ar"/>
              </w:rPr>
              <w:t>经济运行</w:t>
            </w:r>
            <w:r>
              <w:rPr>
                <w:rFonts w:hint="eastAsia" w:ascii="宋体" w:hAnsi="宋体" w:cs="宋体"/>
                <w:color w:val="000000"/>
                <w:kern w:val="0"/>
                <w:sz w:val="21"/>
                <w:szCs w:val="21"/>
                <w:lang w:bidi="ar"/>
              </w:rPr>
              <w:t>主题库</w:t>
            </w:r>
          </w:p>
        </w:tc>
        <w:tc>
          <w:tcPr>
            <w:tcW w:w="3201" w:type="pct"/>
            <w:tcBorders>
              <w:top w:val="single" w:color="auto" w:sz="4" w:space="0"/>
              <w:left w:val="single" w:color="auto" w:sz="4" w:space="0"/>
              <w:bottom w:val="single" w:color="auto" w:sz="4" w:space="0"/>
              <w:right w:val="single" w:color="auto" w:sz="4" w:space="0"/>
            </w:tcBorders>
            <w:shd w:val="clear" w:color="auto" w:fill="auto"/>
            <w:vAlign w:val="center"/>
          </w:tcPr>
          <w:p w14:paraId="2D72A5CD">
            <w:pPr>
              <w:widowControl/>
              <w:spacing w:line="400" w:lineRule="exact"/>
              <w:ind w:firstLine="0" w:firstLineChars="0"/>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围绕“</w:t>
            </w:r>
            <w:r>
              <w:rPr>
                <w:rFonts w:hint="eastAsia" w:ascii="宋体" w:hAnsi="宋体" w:cs="宋体"/>
                <w:color w:val="000000"/>
                <w:kern w:val="0"/>
                <w:sz w:val="21"/>
                <w:szCs w:val="21"/>
                <w:lang w:val="en-US" w:eastAsia="zh-CN" w:bidi="ar"/>
              </w:rPr>
              <w:t>经济运行</w:t>
            </w:r>
            <w:r>
              <w:rPr>
                <w:rFonts w:hint="eastAsia" w:ascii="宋体" w:hAnsi="宋体" w:cs="宋体"/>
                <w:color w:val="000000"/>
                <w:kern w:val="0"/>
                <w:sz w:val="21"/>
                <w:szCs w:val="21"/>
                <w:lang w:bidi="ar"/>
              </w:rPr>
              <w:t>”业务主题</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汇聚整合多源经济运行数据</w:t>
            </w:r>
            <w:r>
              <w:rPr>
                <w:rFonts w:hint="eastAsia" w:ascii="宋体" w:hAnsi="宋体" w:cs="宋体"/>
                <w:color w:val="000000"/>
                <w:kern w:val="0"/>
                <w:sz w:val="21"/>
                <w:szCs w:val="21"/>
                <w:lang w:bidi="ar"/>
              </w:rPr>
              <w:t>，构建专题数据模型；</w:t>
            </w:r>
            <w:r>
              <w:rPr>
                <w:rFonts w:hint="eastAsia" w:ascii="宋体" w:hAnsi="宋体" w:cs="宋体"/>
                <w:color w:val="000000"/>
                <w:kern w:val="0"/>
                <w:sz w:val="21"/>
                <w:szCs w:val="21"/>
                <w:lang w:val="en-US" w:eastAsia="zh-CN" w:bidi="ar"/>
              </w:rPr>
              <w:t>覆盖GDP指标、规上产值等13个主题库。</w:t>
            </w:r>
          </w:p>
        </w:tc>
      </w:tr>
      <w:tr w14:paraId="65DC1DD8">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auto" w:sz="4" w:space="0"/>
            </w:tcBorders>
            <w:shd w:val="clear" w:color="auto" w:fill="auto"/>
            <w:vAlign w:val="center"/>
          </w:tcPr>
          <w:p w14:paraId="6A32672A">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12</w:t>
            </w:r>
          </w:p>
        </w:tc>
        <w:tc>
          <w:tcPr>
            <w:tcW w:w="673"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1568F39">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auto" w:sz="4" w:space="0"/>
              <w:left w:val="single" w:color="000000" w:sz="4" w:space="0"/>
              <w:bottom w:val="single" w:color="000000" w:sz="4" w:space="0"/>
              <w:right w:val="single" w:color="000000" w:sz="4" w:space="0"/>
            </w:tcBorders>
            <w:shd w:val="clear" w:color="auto" w:fill="auto"/>
            <w:vAlign w:val="center"/>
          </w:tcPr>
          <w:p w14:paraId="5CA0BFB0">
            <w:pPr>
              <w:widowControl/>
              <w:spacing w:line="400" w:lineRule="exact"/>
              <w:ind w:firstLine="0" w:firstLineChars="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数据服务和数据管理</w:t>
            </w:r>
          </w:p>
        </w:tc>
        <w:tc>
          <w:tcPr>
            <w:tcW w:w="3201" w:type="pct"/>
            <w:tcBorders>
              <w:top w:val="single" w:color="auto" w:sz="4" w:space="0"/>
              <w:left w:val="single" w:color="000000" w:sz="4" w:space="0"/>
              <w:bottom w:val="single" w:color="000000" w:sz="4" w:space="0"/>
              <w:right w:val="single" w:color="000000" w:sz="4" w:space="0"/>
            </w:tcBorders>
            <w:shd w:val="clear" w:color="auto" w:fill="auto"/>
            <w:vAlign w:val="center"/>
          </w:tcPr>
          <w:p w14:paraId="3174543A">
            <w:pPr>
              <w:widowControl/>
              <w:spacing w:line="400" w:lineRule="exact"/>
              <w:ind w:firstLine="0" w:firstLineChars="0"/>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提供数据订阅的对外服务，支持库表、接口和文件订阅；实现主题库数据的常态化更新；主题库的异议数据处理；主题库的数据资产管理。</w:t>
            </w:r>
          </w:p>
        </w:tc>
      </w:tr>
      <w:tr w14:paraId="7EAC4511">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3D7C">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13</w:t>
            </w:r>
          </w:p>
        </w:tc>
        <w:tc>
          <w:tcPr>
            <w:tcW w:w="673" w:type="pct"/>
            <w:vMerge w:val="restart"/>
            <w:tcBorders>
              <w:top w:val="single" w:color="000000" w:sz="4" w:space="0"/>
              <w:left w:val="single" w:color="000000" w:sz="4" w:space="0"/>
              <w:right w:val="single" w:color="000000" w:sz="4" w:space="0"/>
            </w:tcBorders>
            <w:shd w:val="clear" w:color="auto" w:fill="auto"/>
            <w:vAlign w:val="center"/>
          </w:tcPr>
          <w:p w14:paraId="06F03A7F">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数据治理风险防控</w:t>
            </w:r>
            <w:r>
              <w:rPr>
                <w:rFonts w:hint="eastAsia" w:ascii="宋体" w:hAnsi="宋体" w:cs="宋体"/>
                <w:color w:val="000000"/>
                <w:kern w:val="0"/>
                <w:sz w:val="21"/>
                <w:szCs w:val="21"/>
                <w:lang w:val="en-US" w:eastAsia="zh-CN" w:bidi="ar"/>
              </w:rPr>
              <w:t>和数据治理评估服务</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19C7">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风险评估</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A0AB">
            <w:pPr>
              <w:widowControl/>
              <w:spacing w:line="400" w:lineRule="exact"/>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支持常态化梳理数据治理过程中的高危操作内容及高危访问动作，针对高危风险设置防控属性，记录风险操作涉及的数据；建立风险动态监控机制，及时识别新增风险点。</w:t>
            </w:r>
          </w:p>
        </w:tc>
      </w:tr>
      <w:tr w14:paraId="25D61AC0">
        <w:tblPrEx>
          <w:tblCellMar>
            <w:top w:w="0" w:type="dxa"/>
            <w:left w:w="108" w:type="dxa"/>
            <w:bottom w:w="0" w:type="dxa"/>
            <w:right w:w="108" w:type="dxa"/>
          </w:tblCellMar>
        </w:tblPrEx>
        <w:trPr>
          <w:trHeight w:val="78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15D1">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14</w:t>
            </w:r>
          </w:p>
        </w:tc>
        <w:tc>
          <w:tcPr>
            <w:tcW w:w="673" w:type="pct"/>
            <w:vMerge w:val="continue"/>
            <w:tcBorders>
              <w:left w:val="single" w:color="000000" w:sz="4" w:space="0"/>
              <w:right w:val="single" w:color="000000" w:sz="4" w:space="0"/>
            </w:tcBorders>
            <w:shd w:val="clear" w:color="auto" w:fill="auto"/>
            <w:vAlign w:val="center"/>
          </w:tcPr>
          <w:p w14:paraId="570EA885">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C393">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数据分类分级检查</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5F29">
            <w:pPr>
              <w:widowControl/>
              <w:spacing w:line="400" w:lineRule="exact"/>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支持构建完善的数据分类分级规则库，常态化检查各部门数据分类分级执行情况，识别分类分级不规范问题，提出整改建议。</w:t>
            </w:r>
          </w:p>
        </w:tc>
      </w:tr>
      <w:tr w14:paraId="6977497D">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34DA">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15</w:t>
            </w:r>
          </w:p>
        </w:tc>
        <w:tc>
          <w:tcPr>
            <w:tcW w:w="673" w:type="pct"/>
            <w:vMerge w:val="continue"/>
            <w:tcBorders>
              <w:left w:val="single" w:color="000000" w:sz="4" w:space="0"/>
              <w:right w:val="single" w:color="000000" w:sz="4" w:space="0"/>
            </w:tcBorders>
            <w:shd w:val="clear" w:color="auto" w:fill="auto"/>
            <w:vAlign w:val="center"/>
          </w:tcPr>
          <w:p w14:paraId="4D3F5880">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FCA4">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数据访问权限管控</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7688">
            <w:pPr>
              <w:widowControl/>
              <w:spacing w:line="400" w:lineRule="exact"/>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支持建立数据访问白名单、黑名单机制；将严重危险操作主体列入黑名单，禁止其访问系统、服务接口及数据库；定期分析高危行为，将异常问题主体及时纳入黑名单。</w:t>
            </w:r>
          </w:p>
        </w:tc>
      </w:tr>
      <w:tr w14:paraId="0CBD5550">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D338">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16</w:t>
            </w:r>
          </w:p>
        </w:tc>
        <w:tc>
          <w:tcPr>
            <w:tcW w:w="673" w:type="pct"/>
            <w:vMerge w:val="continue"/>
            <w:tcBorders>
              <w:left w:val="single" w:color="000000" w:sz="4" w:space="0"/>
              <w:right w:val="single" w:color="000000" w:sz="4" w:space="0"/>
            </w:tcBorders>
            <w:shd w:val="clear" w:color="auto" w:fill="auto"/>
            <w:vAlign w:val="center"/>
          </w:tcPr>
          <w:p w14:paraId="62F72478">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C546">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数据加密和脱敏</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EE25">
            <w:pPr>
              <w:widowControl/>
              <w:spacing w:line="400" w:lineRule="exact"/>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支持采用符合国家安全标准的加密或脱敏算法，实现物理层文件保护，确保加密/脱敏后文件被非法获取时无法恢复原始数据，针对敏感数据（如企业核心信息、个人信息）制定专项保护方案。</w:t>
            </w:r>
          </w:p>
        </w:tc>
      </w:tr>
      <w:tr w14:paraId="7B8F1B79">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7DFF">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17</w:t>
            </w:r>
          </w:p>
        </w:tc>
        <w:tc>
          <w:tcPr>
            <w:tcW w:w="673" w:type="pct"/>
            <w:vMerge w:val="continue"/>
            <w:tcBorders>
              <w:left w:val="single" w:color="000000" w:sz="4" w:space="0"/>
              <w:right w:val="single" w:color="000000" w:sz="4" w:space="0"/>
            </w:tcBorders>
            <w:shd w:val="clear" w:color="auto" w:fill="auto"/>
            <w:vAlign w:val="center"/>
          </w:tcPr>
          <w:p w14:paraId="4E86DD0A">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C231">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数据操作管控</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5C05">
            <w:pPr>
              <w:widowControl/>
              <w:spacing w:line="400" w:lineRule="exact"/>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支持对数据更新、备份恢复等核心操作进行集中管控，建立流程化治理机制，确保数据准确性、一致性、可用性，制定数据丢失应急预案，避免数据安全风险。</w:t>
            </w:r>
          </w:p>
        </w:tc>
      </w:tr>
      <w:tr w14:paraId="785CF26B">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9B2D">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18</w:t>
            </w:r>
          </w:p>
        </w:tc>
        <w:tc>
          <w:tcPr>
            <w:tcW w:w="673" w:type="pct"/>
            <w:vMerge w:val="continue"/>
            <w:tcBorders>
              <w:left w:val="single" w:color="000000" w:sz="4" w:space="0"/>
              <w:right w:val="single" w:color="000000" w:sz="4" w:space="0"/>
            </w:tcBorders>
            <w:shd w:val="clear" w:color="auto" w:fill="auto"/>
            <w:vAlign w:val="center"/>
          </w:tcPr>
          <w:p w14:paraId="08062426">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291A">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数据溯源服务</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C1F6">
            <w:pPr>
              <w:widowControl/>
              <w:spacing w:line="400" w:lineRule="exact"/>
              <w:ind w:firstLine="0" w:firstLineChars="0"/>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支持对数据共享、开放过程中交换的数据实行全链路溯源；支持记录数据来源、流转路径、操作记录等关键信息；支持数据溯源查询，实现问题数据的快速定位。</w:t>
            </w:r>
          </w:p>
        </w:tc>
      </w:tr>
      <w:tr w14:paraId="121E6395">
        <w:tblPrEx>
          <w:tblCellMar>
            <w:top w:w="0" w:type="dxa"/>
            <w:left w:w="108" w:type="dxa"/>
            <w:bottom w:w="0" w:type="dxa"/>
            <w:right w:w="108" w:type="dxa"/>
          </w:tblCellMar>
        </w:tblPrEx>
        <w:trPr>
          <w:trHeight w:val="144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4D36">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19</w:t>
            </w:r>
          </w:p>
        </w:tc>
        <w:tc>
          <w:tcPr>
            <w:tcW w:w="673" w:type="pct"/>
            <w:vMerge w:val="continue"/>
            <w:tcBorders>
              <w:left w:val="single" w:color="000000" w:sz="4" w:space="0"/>
              <w:right w:val="single" w:color="000000" w:sz="4" w:space="0"/>
            </w:tcBorders>
            <w:shd w:val="clear" w:color="auto" w:fill="auto"/>
            <w:vAlign w:val="center"/>
          </w:tcPr>
          <w:p w14:paraId="139D7396">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00EC">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评估体系构建</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AB1F">
            <w:pPr>
              <w:widowControl/>
              <w:spacing w:line="400" w:lineRule="exact"/>
              <w:ind w:firstLine="0" w:firstLineChars="0"/>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支持综合分析标准治理库表数据及一企一档主题库表数据，梳理数据治理评估目标、指标体系、评分标准、评估方法及结果应用方案，确保评估体系覆盖数据治理全流程，具备可操作性和科学性</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输出《数据治理服务评估体系》。</w:t>
            </w:r>
          </w:p>
        </w:tc>
      </w:tr>
      <w:tr w14:paraId="2916200F">
        <w:tblPrEx>
          <w:tblCellMar>
            <w:top w:w="0" w:type="dxa"/>
            <w:left w:w="108" w:type="dxa"/>
            <w:bottom w:w="0" w:type="dxa"/>
            <w:right w:w="108" w:type="dxa"/>
          </w:tblCellMar>
        </w:tblPrEx>
        <w:trPr>
          <w:trHeight w:val="111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D891">
            <w:pPr>
              <w:widowControl/>
              <w:spacing w:line="400" w:lineRule="exact"/>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20</w:t>
            </w:r>
          </w:p>
        </w:tc>
        <w:tc>
          <w:tcPr>
            <w:tcW w:w="673" w:type="pct"/>
            <w:vMerge w:val="continue"/>
            <w:tcBorders>
              <w:left w:val="single" w:color="000000" w:sz="4" w:space="0"/>
              <w:bottom w:val="single" w:color="000000" w:sz="4" w:space="0"/>
              <w:right w:val="single" w:color="000000" w:sz="4" w:space="0"/>
            </w:tcBorders>
            <w:shd w:val="clear" w:color="auto" w:fill="auto"/>
            <w:vAlign w:val="center"/>
          </w:tcPr>
          <w:p w14:paraId="6A676CF1">
            <w:pPr>
              <w:widowControl/>
              <w:spacing w:line="400" w:lineRule="exact"/>
              <w:ind w:firstLine="0" w:firstLineChars="0"/>
              <w:jc w:val="center"/>
              <w:textAlignment w:val="center"/>
              <w:rPr>
                <w:rFonts w:ascii="宋体" w:hAnsi="宋体" w:cs="宋体"/>
                <w:color w:val="000000"/>
                <w:kern w:val="0"/>
                <w:sz w:val="21"/>
                <w:szCs w:val="21"/>
                <w:lang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CC1D">
            <w:pPr>
              <w:widowControl/>
              <w:spacing w:line="40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定期评估实施</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A021">
            <w:pPr>
              <w:widowControl/>
              <w:spacing w:line="400" w:lineRule="exact"/>
              <w:ind w:firstLine="0" w:firstLineChars="0"/>
              <w:jc w:val="left"/>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要求每年度开展至少1次全面数据治理评估，识别数据治理存在的问题，提出针对性改进建议，跟踪改进措施落实情况，形成评估闭环</w:t>
            </w:r>
            <w:r>
              <w:rPr>
                <w:rFonts w:hint="eastAsia" w:ascii="宋体" w:hAnsi="宋体" w:cs="宋体"/>
                <w:color w:val="000000"/>
                <w:kern w:val="0"/>
                <w:sz w:val="21"/>
                <w:szCs w:val="21"/>
                <w:lang w:eastAsia="zh-CN" w:bidi="ar"/>
              </w:rPr>
              <w:t>，《数据治理服务评估报告》。</w:t>
            </w:r>
          </w:p>
        </w:tc>
      </w:tr>
    </w:tbl>
    <w:p w14:paraId="74FC79AF">
      <w:pPr>
        <w:bidi w:val="0"/>
        <w:rPr>
          <w:rFonts w:hint="eastAsia"/>
          <w:lang w:val="en-US" w:eastAsia="zh-CN"/>
        </w:rPr>
      </w:pPr>
    </w:p>
    <w:p w14:paraId="65ACFBCF">
      <w:pPr>
        <w:pStyle w:val="4"/>
        <w:numPr>
          <w:ilvl w:val="0"/>
          <w:numId w:val="0"/>
        </w:numPr>
        <w:spacing w:line="400" w:lineRule="exact"/>
        <w:ind w:left="567"/>
        <w:rPr>
          <w:rFonts w:hint="default"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lang w:val="en-US" w:eastAsia="zh-CN"/>
        </w:rPr>
        <w:t>3.3.2服务要求</w:t>
      </w:r>
    </w:p>
    <w:p w14:paraId="5CB712FA">
      <w:pPr>
        <w:spacing w:line="400" w:lineRule="exact"/>
        <w:ind w:firstLine="482"/>
        <w:rPr>
          <w:rFonts w:hint="eastAsia" w:ascii="仿宋" w:hAnsi="仿宋" w:cs="仿宋"/>
          <w:szCs w:val="28"/>
          <w:lang w:eastAsia="zh-CN"/>
        </w:rPr>
      </w:pPr>
      <w:r>
        <w:rPr>
          <w:rFonts w:hint="eastAsia" w:cs="楷体" w:asciiTheme="minorEastAsia" w:hAnsiTheme="minorEastAsia" w:eastAsiaTheme="minorEastAsia"/>
          <w:b/>
          <w:lang w:val="en-US" w:eastAsia="zh-CN"/>
        </w:rPr>
        <w:t>服务期限</w:t>
      </w:r>
      <w:r>
        <w:rPr>
          <w:rFonts w:hint="eastAsia" w:cs="楷体" w:asciiTheme="minorEastAsia" w:hAnsiTheme="minorEastAsia" w:eastAsiaTheme="minorEastAsia"/>
          <w:b/>
        </w:rPr>
        <w:t>：</w:t>
      </w:r>
      <w:r>
        <w:rPr>
          <w:rFonts w:hint="eastAsia" w:ascii="仿宋" w:hAnsi="仿宋" w:cs="仿宋"/>
          <w:szCs w:val="28"/>
        </w:rPr>
        <w:t>本</w:t>
      </w:r>
      <w:r>
        <w:rPr>
          <w:rFonts w:hint="eastAsia" w:ascii="仿宋" w:hAnsi="仿宋" w:cs="仿宋"/>
          <w:szCs w:val="28"/>
          <w:lang w:val="en-US" w:eastAsia="zh-CN"/>
        </w:rPr>
        <w:t>项数据治理</w:t>
      </w:r>
      <w:r>
        <w:rPr>
          <w:rFonts w:hint="eastAsia" w:ascii="仿宋" w:hAnsi="仿宋" w:cs="仿宋"/>
          <w:szCs w:val="28"/>
        </w:rPr>
        <w:t>服务周期为36个月</w:t>
      </w:r>
      <w:r>
        <w:rPr>
          <w:rFonts w:hint="eastAsia" w:ascii="仿宋" w:hAnsi="仿宋" w:cs="仿宋"/>
          <w:szCs w:val="28"/>
          <w:lang w:eastAsia="zh-CN"/>
        </w:rPr>
        <w:t>。</w:t>
      </w:r>
    </w:p>
    <w:p w14:paraId="1A19560E">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hint="eastAsia" w:ascii="仿宋" w:hAnsi="仿宋" w:eastAsia="宋体" w:cs="仿宋"/>
          <w:szCs w:val="28"/>
          <w:lang w:val="en-US" w:eastAsia="zh-CN"/>
        </w:rPr>
      </w:pPr>
      <w:r>
        <w:rPr>
          <w:rFonts w:hint="eastAsia" w:cs="楷体" w:asciiTheme="minorEastAsia" w:hAnsiTheme="minorEastAsia" w:eastAsiaTheme="minorEastAsia"/>
          <w:b/>
          <w:lang w:val="en-US" w:eastAsia="zh-CN"/>
        </w:rPr>
        <w:t>治理工具</w:t>
      </w:r>
      <w:r>
        <w:rPr>
          <w:rFonts w:hint="eastAsia" w:cs="楷体" w:asciiTheme="minorEastAsia" w:hAnsiTheme="minorEastAsia" w:eastAsiaTheme="minorEastAsia"/>
          <w:b/>
        </w:rPr>
        <w:t>：</w:t>
      </w:r>
      <w:r>
        <w:rPr>
          <w:rFonts w:hint="eastAsia" w:ascii="仿宋" w:hAnsi="仿宋" w:eastAsia="宋体" w:cs="仿宋"/>
          <w:szCs w:val="28"/>
          <w:lang w:val="en-US" w:eastAsia="zh-CN"/>
        </w:rPr>
        <w:t>由</w:t>
      </w:r>
      <w:r>
        <w:rPr>
          <w:rFonts w:hint="eastAsia" w:ascii="仿宋" w:hAnsi="仿宋" w:cs="仿宋"/>
          <w:szCs w:val="28"/>
          <w:lang w:val="en-US" w:eastAsia="zh-CN"/>
        </w:rPr>
        <w:t>投标人</w:t>
      </w:r>
      <w:r>
        <w:rPr>
          <w:rFonts w:hint="eastAsia" w:ascii="仿宋" w:hAnsi="仿宋" w:eastAsia="宋体" w:cs="仿宋"/>
          <w:szCs w:val="28"/>
          <w:lang w:val="en-US" w:eastAsia="zh-CN"/>
        </w:rPr>
        <w:t>自行提供数据治理服务过程中所需的技术工具，如数据中台等。</w:t>
      </w:r>
    </w:p>
    <w:p w14:paraId="4173DFE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0"/>
        <w:textAlignment w:val="auto"/>
        <w:rPr>
          <w:rFonts w:hint="eastAsia" w:eastAsia="宋体"/>
          <w:lang w:val="en-US" w:eastAsia="zh-CN"/>
        </w:rPr>
      </w:pPr>
      <w:r>
        <w:rPr>
          <w:rFonts w:hint="eastAsia" w:cs="楷体" w:asciiTheme="minorEastAsia" w:hAnsiTheme="minorEastAsia" w:eastAsiaTheme="minorEastAsia"/>
          <w:b/>
          <w:lang w:val="en-US" w:eastAsia="zh-CN"/>
        </w:rPr>
        <w:t>技术力量和人员配置</w:t>
      </w:r>
      <w:r>
        <w:rPr>
          <w:rFonts w:hint="eastAsia" w:cs="楷体" w:asciiTheme="minorEastAsia" w:hAnsiTheme="minorEastAsia" w:eastAsiaTheme="minorEastAsia"/>
          <w:b/>
        </w:rPr>
        <w:t>：</w:t>
      </w:r>
      <w:r>
        <w:rPr>
          <w:rFonts w:hint="eastAsia" w:cs="楷体" w:asciiTheme="minorEastAsia" w:hAnsiTheme="minorEastAsia" w:eastAsiaTheme="minorEastAsia"/>
          <w:b/>
          <w:lang w:val="en-US" w:eastAsia="zh-CN"/>
        </w:rPr>
        <w:t>详见四、项目实施要求。</w:t>
      </w:r>
    </w:p>
    <w:p w14:paraId="62EE4864">
      <w:pPr>
        <w:pStyle w:val="2"/>
        <w:numPr>
          <w:ilvl w:val="0"/>
          <w:numId w:val="0"/>
        </w:numPr>
        <w:spacing w:line="40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rPr>
        <w:t>3.</w:t>
      </w:r>
      <w:r>
        <w:rPr>
          <w:rFonts w:hint="eastAsia" w:cs="黑体" w:asciiTheme="minorEastAsia" w:hAnsiTheme="minorEastAsia" w:eastAsiaTheme="minorEastAsia"/>
          <w:sz w:val="24"/>
          <w:szCs w:val="24"/>
          <w:lang w:val="en-US" w:eastAsia="zh-CN"/>
        </w:rPr>
        <w:t>4技术要求</w:t>
      </w:r>
    </w:p>
    <w:p w14:paraId="11EB2496">
      <w:pPr>
        <w:pStyle w:val="4"/>
        <w:pageBreakBefore w:val="0"/>
        <w:widowControl w:val="0"/>
        <w:numPr>
          <w:ilvl w:val="0"/>
          <w:numId w:val="0"/>
        </w:numPr>
        <w:kinsoku/>
        <w:wordWrap/>
        <w:overflowPunct/>
        <w:topLinePunct w:val="0"/>
        <w:autoSpaceDE/>
        <w:autoSpaceDN/>
        <w:bidi w:val="0"/>
        <w:spacing w:line="400" w:lineRule="exact"/>
        <w:ind w:left="567"/>
        <w:textAlignment w:val="auto"/>
        <w:rPr>
          <w:rFonts w:hint="eastAsia"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lang w:val="en-US" w:eastAsia="zh-CN"/>
        </w:rPr>
        <w:t>3.4.1部署环境</w:t>
      </w:r>
    </w:p>
    <w:p w14:paraId="3C2BF4E6">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本项目部署在政务云平台</w:t>
      </w:r>
      <w:r>
        <w:rPr>
          <w:rFonts w:asciiTheme="minorEastAsia" w:hAnsiTheme="minorEastAsia" w:eastAsiaTheme="minorEastAsia"/>
          <w:sz w:val="24"/>
        </w:rPr>
        <w:t>。</w:t>
      </w:r>
    </w:p>
    <w:p w14:paraId="231838C5">
      <w:pPr>
        <w:pStyle w:val="4"/>
        <w:pageBreakBefore w:val="0"/>
        <w:widowControl w:val="0"/>
        <w:numPr>
          <w:ilvl w:val="0"/>
          <w:numId w:val="0"/>
        </w:numPr>
        <w:kinsoku/>
        <w:wordWrap/>
        <w:overflowPunct/>
        <w:topLinePunct w:val="0"/>
        <w:autoSpaceDE/>
        <w:autoSpaceDN/>
        <w:bidi w:val="0"/>
        <w:spacing w:line="400" w:lineRule="exact"/>
        <w:ind w:left="567"/>
        <w:textAlignment w:val="auto"/>
        <w:rPr>
          <w:rFonts w:hint="eastAsia"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lang w:val="en-US" w:eastAsia="zh-CN"/>
        </w:rPr>
        <w:t>3.4.2开放式架构开发要求</w:t>
      </w:r>
    </w:p>
    <w:p w14:paraId="73469AC8">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平台建设要求充分考虑基础</w:t>
      </w:r>
      <w:r>
        <w:rPr>
          <w:rFonts w:hint="eastAsia" w:asciiTheme="minorEastAsia" w:hAnsiTheme="minorEastAsia" w:eastAsiaTheme="minorEastAsia"/>
          <w:sz w:val="24"/>
          <w:lang w:val="en-US" w:eastAsia="zh-CN"/>
        </w:rPr>
        <w:t>框架</w:t>
      </w:r>
      <w:r>
        <w:rPr>
          <w:rFonts w:asciiTheme="minorEastAsia" w:hAnsiTheme="minorEastAsia" w:eastAsiaTheme="minorEastAsia"/>
          <w:sz w:val="24"/>
        </w:rPr>
        <w:t>兼容性、标准兼容性和数据内容开放性，确保数据和服务</w:t>
      </w:r>
      <w:r>
        <w:rPr>
          <w:rFonts w:hint="eastAsia" w:asciiTheme="minorEastAsia" w:hAnsiTheme="minorEastAsia" w:eastAsiaTheme="minorEastAsia"/>
          <w:sz w:val="24"/>
          <w:lang w:val="en-US" w:eastAsia="zh-CN"/>
        </w:rPr>
        <w:t>的可</w:t>
      </w:r>
      <w:r>
        <w:rPr>
          <w:rFonts w:asciiTheme="minorEastAsia" w:hAnsiTheme="minorEastAsia" w:eastAsiaTheme="minorEastAsia"/>
          <w:sz w:val="24"/>
        </w:rPr>
        <w:t>操作</w:t>
      </w:r>
      <w:r>
        <w:rPr>
          <w:rFonts w:hint="eastAsia" w:asciiTheme="minorEastAsia" w:hAnsiTheme="minorEastAsia" w:eastAsiaTheme="minorEastAsia"/>
          <w:sz w:val="24"/>
          <w:lang w:val="en-US" w:eastAsia="zh-CN"/>
        </w:rPr>
        <w:t>性</w:t>
      </w:r>
      <w:r>
        <w:rPr>
          <w:rFonts w:asciiTheme="minorEastAsia" w:hAnsiTheme="minorEastAsia" w:eastAsiaTheme="minorEastAsia"/>
          <w:sz w:val="24"/>
        </w:rPr>
        <w:t>、数据内容灵活可配，此外平台的架构还需要支持持续的升级演进。不使用如CentOS等不再更新维护的操作系统。</w:t>
      </w:r>
      <w:r>
        <w:rPr>
          <w:rFonts w:hint="eastAsia" w:asciiTheme="minorEastAsia" w:hAnsiTheme="minorEastAsia" w:eastAsiaTheme="minorEastAsia"/>
          <w:sz w:val="24"/>
        </w:rPr>
        <w:t>数据库建设过程，需符合国家、江苏省以及江阴市关于公共数据元的相关标准规范。</w:t>
      </w:r>
    </w:p>
    <w:p w14:paraId="4E443435">
      <w:pPr>
        <w:pStyle w:val="4"/>
        <w:pageBreakBefore w:val="0"/>
        <w:widowControl w:val="0"/>
        <w:numPr>
          <w:ilvl w:val="0"/>
          <w:numId w:val="0"/>
        </w:numPr>
        <w:kinsoku/>
        <w:wordWrap/>
        <w:overflowPunct/>
        <w:topLinePunct w:val="0"/>
        <w:autoSpaceDE/>
        <w:autoSpaceDN/>
        <w:bidi w:val="0"/>
        <w:adjustRightInd w:val="0"/>
        <w:snapToGrid w:val="0"/>
        <w:spacing w:line="400" w:lineRule="exact"/>
        <w:ind w:left="567"/>
        <w:textAlignment w:val="auto"/>
        <w:rPr>
          <w:rFonts w:hint="eastAsia" w:cs="黑体" w:asciiTheme="minorEastAsia" w:hAnsiTheme="minorEastAsia" w:eastAsiaTheme="minorEastAsia"/>
          <w:sz w:val="24"/>
          <w:szCs w:val="24"/>
        </w:rPr>
      </w:pPr>
      <w:r>
        <w:rPr>
          <w:rFonts w:hint="eastAsia" w:cs="黑体" w:asciiTheme="minorEastAsia" w:hAnsiTheme="minorEastAsia" w:eastAsiaTheme="minorEastAsia"/>
          <w:sz w:val="24"/>
          <w:szCs w:val="24"/>
          <w:lang w:val="en-US" w:eastAsia="zh-CN"/>
        </w:rPr>
        <w:t>3.4.3</w:t>
      </w:r>
      <w:r>
        <w:rPr>
          <w:rFonts w:hint="eastAsia" w:cs="黑体" w:asciiTheme="minorEastAsia" w:hAnsiTheme="minorEastAsia" w:eastAsiaTheme="minorEastAsia"/>
          <w:sz w:val="24"/>
          <w:szCs w:val="24"/>
        </w:rPr>
        <w:t>系统安全性要求</w:t>
      </w:r>
    </w:p>
    <w:p w14:paraId="50FCFC14">
      <w:pPr>
        <w:pageBreakBefore w:val="0"/>
        <w:widowControl w:val="0"/>
        <w:numPr>
          <w:ilvl w:val="-1"/>
          <w:numId w:val="0"/>
        </w:numPr>
        <w:kinsoku/>
        <w:wordWrap/>
        <w:overflowPunct/>
        <w:topLinePunct w:val="0"/>
        <w:autoSpaceDE/>
        <w:autoSpaceDN/>
        <w:bidi w:val="0"/>
        <w:adjustRightInd/>
        <w:snapToGrid/>
        <w:spacing w:line="400" w:lineRule="exact"/>
        <w:ind w:firstLine="480" w:firstLineChars="200"/>
        <w:textAlignment w:val="auto"/>
        <w:rPr>
          <w:rFonts w:hint="default" w:cs="Times New Roman" w:asciiTheme="minorEastAsia" w:hAnsiTheme="minorEastAsia" w:eastAsiaTheme="minorEastAsia"/>
          <w:sz w:val="24"/>
          <w:szCs w:val="22"/>
          <w:lang w:eastAsia="zh-CN"/>
        </w:rPr>
      </w:pPr>
      <w:r>
        <w:rPr>
          <w:rFonts w:hint="default" w:cs="Times New Roman" w:asciiTheme="minorEastAsia" w:hAnsiTheme="minorEastAsia" w:eastAsiaTheme="minorEastAsia"/>
          <w:sz w:val="24"/>
          <w:szCs w:val="22"/>
        </w:rPr>
        <w:t>按照《信息安全技术网络安全等级保护定级指南》（GB/T 22240-2020）的三级要求和我市电子政务信息化安全管理要求，系统建设应从运行环境、系统应用、业务数据、管理制度等方面提供安全设计方案，保障业务数据安全和系统运行环境安全</w:t>
      </w:r>
      <w:r>
        <w:rPr>
          <w:rFonts w:hint="default" w:cs="Times New Roman" w:asciiTheme="minorEastAsia" w:hAnsiTheme="minorEastAsia" w:eastAsiaTheme="minorEastAsia"/>
          <w:sz w:val="24"/>
          <w:szCs w:val="22"/>
          <w:lang w:eastAsia="zh-CN"/>
        </w:rPr>
        <w:t>，</w:t>
      </w:r>
      <w:r>
        <w:rPr>
          <w:rFonts w:hint="default" w:cs="Times New Roman" w:asciiTheme="minorEastAsia" w:hAnsiTheme="minorEastAsia" w:eastAsiaTheme="minorEastAsia"/>
          <w:sz w:val="24"/>
          <w:szCs w:val="22"/>
        </w:rPr>
        <w:t>项目安全</w:t>
      </w:r>
      <w:r>
        <w:rPr>
          <w:rFonts w:hint="default" w:cs="Times New Roman" w:asciiTheme="minorEastAsia" w:hAnsiTheme="minorEastAsia" w:eastAsiaTheme="minorEastAsia"/>
          <w:sz w:val="24"/>
          <w:szCs w:val="22"/>
          <w:lang w:val="en-US" w:eastAsia="zh-CN"/>
        </w:rPr>
        <w:t>满足</w:t>
      </w:r>
      <w:r>
        <w:rPr>
          <w:rFonts w:hint="default" w:cs="Times New Roman" w:asciiTheme="minorEastAsia" w:hAnsiTheme="minorEastAsia" w:eastAsiaTheme="minorEastAsia"/>
          <w:sz w:val="24"/>
          <w:szCs w:val="22"/>
        </w:rPr>
        <w:t>“等保2.0”三级标准</w:t>
      </w:r>
      <w:r>
        <w:rPr>
          <w:rFonts w:hint="default" w:cs="Times New Roman" w:asciiTheme="minorEastAsia" w:hAnsiTheme="minorEastAsia" w:eastAsiaTheme="minorEastAsia"/>
          <w:sz w:val="24"/>
          <w:szCs w:val="22"/>
          <w:lang w:eastAsia="zh-CN"/>
        </w:rPr>
        <w:t>。</w:t>
      </w:r>
    </w:p>
    <w:p w14:paraId="7D1AB0E3">
      <w:pPr>
        <w:pStyle w:val="4"/>
        <w:pageBreakBefore w:val="0"/>
        <w:widowControl w:val="0"/>
        <w:numPr>
          <w:ilvl w:val="0"/>
          <w:numId w:val="0"/>
        </w:numPr>
        <w:kinsoku/>
        <w:wordWrap/>
        <w:overflowPunct/>
        <w:topLinePunct w:val="0"/>
        <w:autoSpaceDE/>
        <w:autoSpaceDN/>
        <w:bidi w:val="0"/>
        <w:adjustRightInd w:val="0"/>
        <w:snapToGrid w:val="0"/>
        <w:spacing w:line="400" w:lineRule="exact"/>
        <w:ind w:left="567"/>
        <w:textAlignment w:val="auto"/>
        <w:rPr>
          <w:rFonts w:hint="eastAsia" w:cs="黑体" w:asciiTheme="minorEastAsia" w:hAnsiTheme="minorEastAsia" w:eastAsiaTheme="minorEastAsia"/>
          <w:sz w:val="24"/>
          <w:szCs w:val="24"/>
        </w:rPr>
      </w:pPr>
      <w:r>
        <w:rPr>
          <w:rFonts w:hint="eastAsia" w:cs="黑体" w:asciiTheme="minorEastAsia" w:hAnsiTheme="minorEastAsia" w:eastAsiaTheme="minorEastAsia"/>
          <w:sz w:val="24"/>
          <w:szCs w:val="24"/>
          <w:lang w:val="en-US" w:eastAsia="zh-CN"/>
        </w:rPr>
        <w:t>3.4.4</w:t>
      </w:r>
      <w:r>
        <w:rPr>
          <w:rFonts w:hint="eastAsia" w:cs="黑体" w:asciiTheme="minorEastAsia" w:hAnsiTheme="minorEastAsia" w:eastAsiaTheme="minorEastAsia"/>
          <w:sz w:val="24"/>
          <w:szCs w:val="24"/>
        </w:rPr>
        <w:t>信创要求</w:t>
      </w:r>
    </w:p>
    <w:p w14:paraId="1B627D0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s="Times New Roman" w:asciiTheme="minorEastAsia" w:hAnsiTheme="minorEastAsia" w:eastAsiaTheme="minorEastAsia"/>
          <w:lang w:val="en-US" w:eastAsia="zh-CN"/>
        </w:rPr>
      </w:pPr>
      <w:r>
        <w:rPr>
          <w:rFonts w:hint="default" w:cs="Times New Roman" w:asciiTheme="minorEastAsia" w:hAnsiTheme="minorEastAsia" w:eastAsiaTheme="minorEastAsia"/>
          <w:sz w:val="24"/>
          <w:szCs w:val="22"/>
        </w:rPr>
        <w:t>根据《“十四五”数字经济发展规划》加快推动数字产业化，增强关键技术创新能力，提升核心产业竞争力的要求，系统建设应</w:t>
      </w:r>
      <w:r>
        <w:rPr>
          <w:rFonts w:hint="eastAsia" w:cs="Times New Roman" w:asciiTheme="minorEastAsia" w:hAnsiTheme="minorEastAsia" w:eastAsiaTheme="minorEastAsia"/>
          <w:sz w:val="24"/>
          <w:szCs w:val="22"/>
          <w:lang w:val="en-US" w:eastAsia="zh-CN"/>
        </w:rPr>
        <w:t>符合国产化要求。</w:t>
      </w:r>
      <w:r>
        <w:rPr>
          <w:rFonts w:hint="eastAsia" w:cs="Times New Roman" w:asciiTheme="minorEastAsia" w:hAnsiTheme="minorEastAsia" w:eastAsiaTheme="minorEastAsia"/>
          <w:b/>
          <w:bCs/>
          <w:sz w:val="24"/>
          <w:szCs w:val="22"/>
          <w:lang w:val="en-US" w:eastAsia="zh-CN"/>
        </w:rPr>
        <w:t>后续本项目涉及</w:t>
      </w:r>
      <w:r>
        <w:rPr>
          <w:rFonts w:hint="default" w:cs="Times New Roman" w:asciiTheme="minorEastAsia" w:hAnsiTheme="minorEastAsia" w:eastAsiaTheme="minorEastAsia"/>
          <w:b/>
          <w:bCs/>
          <w:sz w:val="24"/>
          <w:szCs w:val="22"/>
        </w:rPr>
        <w:t>国产</w:t>
      </w:r>
      <w:r>
        <w:rPr>
          <w:rFonts w:hint="eastAsia" w:cs="Times New Roman" w:asciiTheme="minorEastAsia" w:hAnsiTheme="minorEastAsia" w:eastAsiaTheme="minorEastAsia"/>
          <w:b/>
          <w:bCs/>
          <w:sz w:val="24"/>
          <w:szCs w:val="22"/>
          <w:lang w:val="en-US" w:eastAsia="zh-CN"/>
        </w:rPr>
        <w:t>化产品</w:t>
      </w:r>
      <w:r>
        <w:rPr>
          <w:rFonts w:hint="default" w:cs="Times New Roman" w:asciiTheme="minorEastAsia" w:hAnsiTheme="minorEastAsia" w:eastAsiaTheme="minorEastAsia"/>
          <w:b/>
          <w:bCs/>
          <w:sz w:val="24"/>
          <w:szCs w:val="22"/>
        </w:rPr>
        <w:t>（包含但不限于数据库、操作系统，中间件</w:t>
      </w:r>
      <w:r>
        <w:rPr>
          <w:rFonts w:hint="eastAsia" w:cs="Times New Roman" w:asciiTheme="minorEastAsia" w:hAnsiTheme="minorEastAsia" w:eastAsiaTheme="minorEastAsia"/>
          <w:b/>
          <w:bCs/>
          <w:sz w:val="24"/>
          <w:szCs w:val="22"/>
          <w:lang w:val="en-US" w:eastAsia="zh-CN"/>
        </w:rPr>
        <w:t>等</w:t>
      </w:r>
      <w:r>
        <w:rPr>
          <w:rFonts w:hint="default" w:cs="Times New Roman" w:asciiTheme="minorEastAsia" w:hAnsiTheme="minorEastAsia" w:eastAsiaTheme="minorEastAsia"/>
          <w:b/>
          <w:bCs/>
          <w:sz w:val="24"/>
          <w:szCs w:val="22"/>
        </w:rPr>
        <w:t>），由</w:t>
      </w:r>
      <w:r>
        <w:rPr>
          <w:rFonts w:hint="eastAsia" w:cs="Times New Roman" w:asciiTheme="minorEastAsia" w:hAnsiTheme="minorEastAsia" w:eastAsiaTheme="minorEastAsia"/>
          <w:b/>
          <w:bCs/>
          <w:sz w:val="24"/>
          <w:szCs w:val="22"/>
          <w:lang w:val="en-US" w:eastAsia="zh-CN"/>
        </w:rPr>
        <w:t>中标</w:t>
      </w:r>
      <w:r>
        <w:rPr>
          <w:rFonts w:hint="default" w:cs="Times New Roman" w:asciiTheme="minorEastAsia" w:hAnsiTheme="minorEastAsia" w:eastAsiaTheme="minorEastAsia"/>
          <w:b/>
          <w:bCs/>
          <w:sz w:val="24"/>
          <w:szCs w:val="22"/>
        </w:rPr>
        <w:t>供应商</w:t>
      </w:r>
      <w:r>
        <w:rPr>
          <w:rFonts w:hint="eastAsia" w:cs="Times New Roman" w:asciiTheme="minorEastAsia" w:hAnsiTheme="minorEastAsia" w:eastAsiaTheme="minorEastAsia"/>
          <w:b/>
          <w:bCs/>
          <w:sz w:val="24"/>
          <w:szCs w:val="22"/>
          <w:lang w:val="en-US" w:eastAsia="zh-CN"/>
        </w:rPr>
        <w:t>提供。（</w:t>
      </w:r>
      <w:r>
        <w:rPr>
          <w:rFonts w:hint="eastAsia" w:ascii="宋体" w:hAnsi="宋体" w:cs="楷体"/>
          <w:b/>
          <w:bCs/>
        </w:rPr>
        <w:t>投标人须提供承诺函，具体格式见“承诺函”</w:t>
      </w:r>
      <w:r>
        <w:rPr>
          <w:rFonts w:hint="eastAsia" w:cs="Times New Roman" w:asciiTheme="minorEastAsia" w:hAnsiTheme="minorEastAsia" w:eastAsiaTheme="minorEastAsia"/>
          <w:b/>
          <w:bCs/>
          <w:sz w:val="24"/>
          <w:szCs w:val="22"/>
          <w:lang w:val="en-US" w:eastAsia="zh-CN"/>
        </w:rPr>
        <w:t>）</w:t>
      </w:r>
    </w:p>
    <w:p w14:paraId="76ACD3DA">
      <w:pPr>
        <w:pStyle w:val="4"/>
        <w:pageBreakBefore w:val="0"/>
        <w:widowControl w:val="0"/>
        <w:numPr>
          <w:ilvl w:val="0"/>
          <w:numId w:val="0"/>
        </w:numPr>
        <w:kinsoku/>
        <w:wordWrap/>
        <w:overflowPunct/>
        <w:topLinePunct w:val="0"/>
        <w:autoSpaceDE/>
        <w:autoSpaceDN/>
        <w:bidi w:val="0"/>
        <w:spacing w:line="400" w:lineRule="exact"/>
        <w:ind w:left="567"/>
        <w:textAlignment w:val="auto"/>
        <w:rPr>
          <w:rFonts w:hint="eastAsia"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lang w:val="en-US" w:eastAsia="zh-CN"/>
        </w:rPr>
        <w:t>3.4.5平台性能要求</w:t>
      </w:r>
    </w:p>
    <w:p w14:paraId="5F48534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sz w:val="24"/>
          <w:lang w:eastAsia="zh-CN"/>
        </w:rPr>
      </w:pPr>
      <w:r>
        <w:rPr>
          <w:rFonts w:asciiTheme="minorEastAsia" w:hAnsiTheme="minorEastAsia" w:eastAsiaTheme="minorEastAsia"/>
          <w:sz w:val="24"/>
        </w:rPr>
        <w:t>要求系统全年平均无故障率需达到99.9%。</w:t>
      </w:r>
    </w:p>
    <w:p w14:paraId="74B0633F">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sz w:val="24"/>
          <w:lang w:eastAsia="zh-CN"/>
        </w:rPr>
      </w:pPr>
      <w:r>
        <w:rPr>
          <w:rFonts w:asciiTheme="minorEastAsia" w:hAnsiTheme="minorEastAsia" w:eastAsiaTheme="minorEastAsia"/>
          <w:sz w:val="24"/>
        </w:rPr>
        <w:t>要求人机界面友好，输出、输入方便，图表生成灵活美观，检索简单快捷。</w:t>
      </w:r>
    </w:p>
    <w:p w14:paraId="2DDC6385">
      <w:pPr>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4"/>
        </w:rPr>
      </w:pPr>
      <w:r>
        <w:rPr>
          <w:rFonts w:asciiTheme="minorEastAsia" w:hAnsiTheme="minorEastAsia" w:eastAsiaTheme="minorEastAsia"/>
          <w:sz w:val="24"/>
        </w:rPr>
        <w:t>要求信息查询的速度快，对于基本的数据查询应当做到即时响应，需在</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秒内完成查询结果的展示。</w:t>
      </w:r>
    </w:p>
    <w:p w14:paraId="7AE2B410">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要求支持至少</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00人同时在线，</w:t>
      </w:r>
      <w:r>
        <w:rPr>
          <w:rFonts w:hint="eastAsia" w:asciiTheme="minorEastAsia" w:hAnsiTheme="minorEastAsia" w:eastAsiaTheme="minorEastAsia"/>
          <w:sz w:val="24"/>
          <w:lang w:val="en-US" w:eastAsia="zh-CN"/>
        </w:rPr>
        <w:t>10</w:t>
      </w:r>
      <w:r>
        <w:rPr>
          <w:rFonts w:asciiTheme="minorEastAsia" w:hAnsiTheme="minorEastAsia" w:eastAsiaTheme="minorEastAsia"/>
          <w:sz w:val="24"/>
        </w:rPr>
        <w:t>0人并发，系统页面操作平均响应时间不超过</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秒。</w:t>
      </w:r>
    </w:p>
    <w:p w14:paraId="0208CA0A">
      <w:pPr>
        <w:pStyle w:val="4"/>
        <w:pageBreakBefore w:val="0"/>
        <w:widowControl w:val="0"/>
        <w:numPr>
          <w:ilvl w:val="0"/>
          <w:numId w:val="0"/>
        </w:numPr>
        <w:kinsoku/>
        <w:wordWrap/>
        <w:overflowPunct/>
        <w:topLinePunct w:val="0"/>
        <w:autoSpaceDE/>
        <w:autoSpaceDN/>
        <w:bidi w:val="0"/>
        <w:spacing w:line="400" w:lineRule="exact"/>
        <w:ind w:left="567"/>
        <w:textAlignment w:val="auto"/>
        <w:rPr>
          <w:rFonts w:hint="eastAsia"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lang w:val="en-US" w:eastAsia="zh-CN"/>
        </w:rPr>
        <w:t>3.4.6无缝对接要求</w:t>
      </w:r>
    </w:p>
    <w:p w14:paraId="3B1054C3">
      <w:pPr>
        <w:pStyle w:val="19"/>
        <w:pageBreakBefore w:val="0"/>
        <w:widowControl w:val="0"/>
        <w:kinsoku/>
        <w:wordWrap/>
        <w:overflowPunct/>
        <w:topLinePunct w:val="0"/>
        <w:autoSpaceDE/>
        <w:autoSpaceDN/>
        <w:bidi w:val="0"/>
        <w:spacing w:line="400" w:lineRule="exact"/>
        <w:ind w:firstLine="480"/>
        <w:textAlignment w:val="auto"/>
        <w:rPr>
          <w:rFonts w:ascii="宋体" w:hAnsi="宋体"/>
          <w:b/>
          <w:sz w:val="24"/>
          <w:szCs w:val="24"/>
        </w:rPr>
      </w:pPr>
      <w:r>
        <w:rPr>
          <w:rFonts w:hint="eastAsia"/>
          <w:lang w:val="en-US" w:eastAsia="zh-CN"/>
        </w:rPr>
        <w:t>本经济云平台项目必须能够与江阴市一网通办平台、江阴市一件事平台、江阴市共享交换平台无缝对接；本项目涉及小程序以H5形式嵌入“最江阴APP”。投标人投标时须承诺与以上平台无缝对接。</w:t>
      </w:r>
      <w:r>
        <w:rPr>
          <w:rFonts w:ascii="宋体" w:hAnsi="宋体"/>
          <w:b/>
          <w:sz w:val="24"/>
          <w:szCs w:val="24"/>
        </w:rPr>
        <w:t>（</w:t>
      </w:r>
      <w:r>
        <w:rPr>
          <w:rFonts w:hint="eastAsia" w:ascii="宋体" w:hAnsi="宋体" w:cs="楷体"/>
          <w:b/>
          <w:bCs/>
        </w:rPr>
        <w:t>投标人须提供承诺函，具体格式见“承诺函”</w:t>
      </w:r>
      <w:r>
        <w:rPr>
          <w:rFonts w:ascii="宋体" w:hAnsi="宋体"/>
          <w:b/>
          <w:sz w:val="24"/>
          <w:szCs w:val="24"/>
        </w:rPr>
        <w:t>）</w:t>
      </w:r>
    </w:p>
    <w:p w14:paraId="4A87023B">
      <w:pPr>
        <w:pageBreakBefore w:val="0"/>
        <w:widowControl w:val="0"/>
        <w:kinsoku/>
        <w:wordWrap/>
        <w:overflowPunct/>
        <w:topLinePunct w:val="0"/>
        <w:autoSpaceDE/>
        <w:autoSpaceDN/>
        <w:bidi w:val="0"/>
        <w:spacing w:line="400" w:lineRule="exact"/>
        <w:ind w:left="0" w:leftChars="0" w:firstLine="0" w:firstLineChars="0"/>
        <w:textAlignment w:val="auto"/>
        <w:rPr>
          <w:rFonts w:hint="eastAsia" w:cs="黑体" w:asciiTheme="minorEastAsia" w:hAnsiTheme="minorEastAsia" w:eastAsiaTheme="minorEastAsia"/>
          <w:sz w:val="24"/>
          <w:szCs w:val="24"/>
        </w:rPr>
      </w:pPr>
    </w:p>
    <w:p w14:paraId="2D301916">
      <w:pPr>
        <w:pStyle w:val="3"/>
        <w:numPr>
          <w:ilvl w:val="0"/>
          <w:numId w:val="0"/>
        </w:numPr>
        <w:spacing w:line="400" w:lineRule="exact"/>
        <w:rPr>
          <w:rFonts w:ascii="黑体" w:hAnsi="黑体" w:eastAsia="黑体" w:cs="黑体"/>
          <w:b w:val="0"/>
          <w:sz w:val="28"/>
          <w:szCs w:val="52"/>
        </w:rPr>
      </w:pPr>
      <w:r>
        <w:rPr>
          <w:rFonts w:hint="eastAsia" w:ascii="黑体" w:hAnsi="黑体" w:eastAsia="黑体" w:cs="黑体"/>
          <w:b w:val="0"/>
          <w:sz w:val="28"/>
          <w:szCs w:val="52"/>
        </w:rPr>
        <w:t>四、项目实施要求</w:t>
      </w:r>
    </w:p>
    <w:p w14:paraId="55FD9B82">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hint="eastAsia" w:ascii="宋体" w:hAnsi="宋体" w:eastAsia="宋体" w:cs="宋体"/>
        </w:rPr>
      </w:pPr>
      <w:r>
        <w:rPr>
          <w:rFonts w:hint="eastAsia" w:ascii="宋体" w:hAnsi="宋体" w:eastAsia="宋体" w:cs="宋体"/>
          <w:b w:val="0"/>
          <w:bCs/>
          <w:lang w:val="en-US" w:eastAsia="zh-CN"/>
        </w:rPr>
        <w:t>1、</w:t>
      </w:r>
      <w:r>
        <w:rPr>
          <w:rFonts w:hint="eastAsia" w:ascii="宋体" w:hAnsi="宋体" w:eastAsia="宋体" w:cs="宋体"/>
          <w:b/>
        </w:rPr>
        <w:t>项目实施时间：</w:t>
      </w:r>
    </w:p>
    <w:p w14:paraId="6842CBF2">
      <w:pPr>
        <w:spacing w:line="400" w:lineRule="exact"/>
        <w:ind w:firstLine="482"/>
        <w:rPr>
          <w:rFonts w:hint="eastAsia" w:ascii="宋体" w:hAnsi="宋体" w:eastAsia="宋体" w:cs="宋体"/>
          <w:lang w:eastAsia="zh-CN"/>
        </w:rPr>
      </w:pPr>
      <w:r>
        <w:rPr>
          <w:rFonts w:hint="eastAsia" w:ascii="宋体" w:hAnsi="宋体" w:cs="宋体"/>
        </w:rPr>
        <w:t>(1)本项目软件系统(定制化软件开发部分):须在合同签订后的</w:t>
      </w:r>
      <w:r>
        <w:rPr>
          <w:rFonts w:hint="eastAsia" w:ascii="宋体" w:hAnsi="宋体" w:cs="宋体"/>
          <w:lang w:val="en-US" w:eastAsia="zh-CN"/>
        </w:rPr>
        <w:t>6</w:t>
      </w:r>
      <w:r>
        <w:rPr>
          <w:rFonts w:hint="eastAsia" w:ascii="宋体" w:hAnsi="宋体" w:cs="宋体"/>
        </w:rPr>
        <w:t>个月内将项目建设达到初验标准，并申请甲方进行初步验收，初验合格后</w:t>
      </w:r>
      <w:r>
        <w:rPr>
          <w:rFonts w:hint="eastAsia" w:ascii="宋体" w:hAnsi="宋体" w:cs="宋体"/>
          <w:lang w:val="en-US" w:eastAsia="zh-CN"/>
        </w:rPr>
        <w:t>进入</w:t>
      </w:r>
      <w:r>
        <w:rPr>
          <w:rFonts w:hint="eastAsia" w:ascii="宋体" w:hAnsi="宋体" w:cs="宋体"/>
        </w:rPr>
        <w:t>试运行阶段，试运行期不低于3个月，试运行期无问题后申请</w:t>
      </w:r>
      <w:r>
        <w:rPr>
          <w:rFonts w:hint="eastAsia" w:ascii="宋体" w:hAnsi="宋体" w:cs="宋体"/>
          <w:lang w:val="en-US" w:eastAsia="zh-CN"/>
        </w:rPr>
        <w:t>阶段性</w:t>
      </w:r>
      <w:r>
        <w:rPr>
          <w:rFonts w:hint="eastAsia" w:ascii="宋体" w:hAnsi="宋体" w:cs="宋体"/>
        </w:rPr>
        <w:t>终验</w:t>
      </w:r>
      <w:r>
        <w:rPr>
          <w:rFonts w:hint="eastAsia" w:ascii="宋体" w:hAnsi="宋体" w:cs="宋体"/>
          <w:lang w:eastAsia="zh-CN"/>
        </w:rPr>
        <w:t>。</w:t>
      </w:r>
    </w:p>
    <w:p w14:paraId="4581D512">
      <w:pPr>
        <w:spacing w:line="400" w:lineRule="exact"/>
        <w:ind w:firstLine="482"/>
        <w:rPr>
          <w:rFonts w:hint="eastAsia" w:ascii="宋体" w:hAnsi="宋体" w:cs="宋体"/>
        </w:rPr>
      </w:pPr>
      <w:r>
        <w:rPr>
          <w:rFonts w:hint="eastAsia" w:ascii="宋体" w:hAnsi="宋体" w:cs="宋体"/>
        </w:rPr>
        <w:t>(2)数据采购:服务期一共1年，按年度组织验收，自合同签订</w:t>
      </w:r>
      <w:r>
        <w:rPr>
          <w:rFonts w:hint="eastAsia" w:ascii="宋体" w:hAnsi="宋体" w:cs="宋体"/>
          <w:lang w:val="en-US" w:eastAsia="zh-CN"/>
        </w:rPr>
        <w:t>之日起</w:t>
      </w:r>
      <w:r>
        <w:rPr>
          <w:rFonts w:hint="eastAsia" w:ascii="宋体" w:hAnsi="宋体" w:cs="宋体"/>
        </w:rPr>
        <w:t>满</w:t>
      </w:r>
      <w:r>
        <w:rPr>
          <w:rFonts w:hint="eastAsia" w:ascii="宋体" w:hAnsi="宋体" w:cs="宋体"/>
          <w:lang w:val="en-US" w:eastAsia="zh-CN"/>
        </w:rPr>
        <w:t>一</w:t>
      </w:r>
      <w:r>
        <w:rPr>
          <w:rFonts w:hint="eastAsia" w:ascii="宋体" w:hAnsi="宋体" w:cs="宋体"/>
        </w:rPr>
        <w:t>年</w:t>
      </w:r>
      <w:r>
        <w:rPr>
          <w:rFonts w:hint="eastAsia" w:ascii="宋体" w:hAnsi="宋体" w:cs="宋体"/>
          <w:lang w:val="en-US" w:eastAsia="zh-CN"/>
        </w:rPr>
        <w:t>后</w:t>
      </w:r>
      <w:r>
        <w:rPr>
          <w:rFonts w:hint="eastAsia" w:ascii="宋体" w:hAnsi="宋体" w:cs="宋体"/>
        </w:rPr>
        <w:t>可申请该年度的数据采购验收。</w:t>
      </w:r>
    </w:p>
    <w:p w14:paraId="07262012">
      <w:pPr>
        <w:spacing w:line="400" w:lineRule="exact"/>
        <w:ind w:firstLine="482"/>
        <w:rPr>
          <w:rFonts w:hint="eastAsia" w:ascii="宋体" w:hAnsi="宋体" w:cs="宋体"/>
        </w:rPr>
      </w:pPr>
      <w:r>
        <w:rPr>
          <w:rFonts w:hint="eastAsia" w:ascii="宋体" w:hAnsi="宋体" w:cs="宋体"/>
        </w:rPr>
        <w:t>(3)数据治理服务:服务期一共3年，按年度组织验收，自合同签订</w:t>
      </w:r>
      <w:r>
        <w:rPr>
          <w:rFonts w:hint="eastAsia" w:ascii="宋体" w:hAnsi="宋体" w:cs="宋体"/>
          <w:lang w:val="en-US" w:eastAsia="zh-CN"/>
        </w:rPr>
        <w:t>之日起</w:t>
      </w:r>
      <w:r>
        <w:rPr>
          <w:rFonts w:hint="eastAsia" w:ascii="宋体" w:hAnsi="宋体" w:cs="宋体"/>
        </w:rPr>
        <w:t>每满一年可申请该年度的数据治理服务验收。</w:t>
      </w:r>
    </w:p>
    <w:p w14:paraId="51F384B7">
      <w:pPr>
        <w:spacing w:line="400" w:lineRule="exact"/>
        <w:ind w:firstLine="482"/>
        <w:rPr>
          <w:rFonts w:hint="eastAsia" w:ascii="宋体" w:hAnsi="宋体" w:cs="宋体"/>
        </w:rPr>
      </w:pPr>
      <w:r>
        <w:rPr>
          <w:rFonts w:hint="eastAsia" w:ascii="宋体" w:hAnsi="宋体" w:cs="宋体"/>
          <w:lang w:val="en-US" w:eastAsia="zh-CN"/>
        </w:rPr>
        <w:t>(4)</w:t>
      </w:r>
      <w:r>
        <w:rPr>
          <w:rFonts w:hint="eastAsia" w:ascii="宋体" w:hAnsi="宋体" w:cs="宋体"/>
        </w:rPr>
        <w:t>数据治理服务期满后，申请</w:t>
      </w:r>
      <w:r>
        <w:rPr>
          <w:rFonts w:hint="eastAsia" w:ascii="宋体" w:hAnsi="宋体" w:cs="宋体"/>
          <w:lang w:val="en-US" w:eastAsia="zh-CN"/>
        </w:rPr>
        <w:t>本项目整体</w:t>
      </w:r>
      <w:r>
        <w:rPr>
          <w:rFonts w:hint="eastAsia" w:ascii="宋体" w:hAnsi="宋体" w:cs="宋体"/>
        </w:rPr>
        <w:t>竣工验收。</w:t>
      </w:r>
    </w:p>
    <w:p w14:paraId="7C6D880C">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投标人应结合招标人建设要求，按照标准化项目实施管理规范，组建符合要求的实施团队，制定符合实际的实施计划和质量保障方案，科学开展项目实施工作，按时保质保量地完成项目交付。</w:t>
      </w:r>
    </w:p>
    <w:p w14:paraId="4C43625C">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投标人应在投标文件中详细提出项目进度计划表，时间进度不能超过上述的项目工期要求。</w:t>
      </w:r>
    </w:p>
    <w:p w14:paraId="492325C9">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hint="eastAsia" w:ascii="宋体" w:hAnsi="宋体" w:eastAsia="宋体" w:cs="宋体"/>
          <w:lang w:val="en-US" w:eastAsia="zh-CN"/>
        </w:rPr>
      </w:pPr>
      <w:r>
        <w:rPr>
          <w:rFonts w:hint="eastAsia" w:ascii="宋体" w:hAnsi="宋体" w:eastAsia="宋体" w:cs="宋体"/>
          <w:b/>
        </w:rPr>
        <w:t>项目实施地点：</w:t>
      </w:r>
      <w:r>
        <w:rPr>
          <w:rFonts w:hint="eastAsia" w:ascii="宋体" w:hAnsi="宋体" w:eastAsia="宋体" w:cs="宋体"/>
        </w:rPr>
        <w:t>江阴市</w:t>
      </w:r>
      <w:r>
        <w:rPr>
          <w:rFonts w:hint="eastAsia" w:ascii="宋体" w:hAnsi="宋体" w:eastAsia="宋体" w:cs="宋体"/>
          <w:lang w:val="en-US" w:eastAsia="zh-CN"/>
        </w:rPr>
        <w:t>数据局。</w:t>
      </w:r>
    </w:p>
    <w:p w14:paraId="2DD99E04">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hint="eastAsia" w:ascii="宋体" w:hAnsi="宋体" w:eastAsia="宋体" w:cs="宋体"/>
          <w:szCs w:val="21"/>
        </w:rPr>
      </w:pPr>
      <w:r>
        <w:rPr>
          <w:rFonts w:hint="eastAsia" w:ascii="宋体" w:hAnsi="宋体" w:eastAsia="宋体" w:cs="宋体"/>
          <w:b/>
          <w:bCs/>
          <w:szCs w:val="21"/>
        </w:rPr>
        <w:t>人员配置要求</w:t>
      </w:r>
      <w:r>
        <w:rPr>
          <w:rFonts w:hint="eastAsia" w:ascii="宋体" w:hAnsi="宋体" w:eastAsia="宋体" w:cs="宋体"/>
          <w:szCs w:val="21"/>
        </w:rPr>
        <w:t>：</w:t>
      </w:r>
      <w:r>
        <w:rPr>
          <w:rFonts w:hint="eastAsia" w:ascii="宋体" w:hAnsi="宋体" w:eastAsia="宋体" w:cs="宋体"/>
        </w:rPr>
        <w:t>须</w:t>
      </w:r>
      <w:r>
        <w:rPr>
          <w:rFonts w:hint="eastAsia" w:ascii="宋体" w:hAnsi="宋体" w:eastAsia="宋体" w:cs="宋体"/>
          <w:szCs w:val="21"/>
        </w:rPr>
        <w:t>根据项目建设内容和进度，派驻具有一定资质能</w:t>
      </w:r>
      <w:r>
        <w:rPr>
          <w:rFonts w:hint="eastAsia" w:ascii="宋体" w:hAnsi="宋体" w:eastAsia="宋体" w:cs="宋体"/>
          <w:szCs w:val="21"/>
          <w:lang w:eastAsia="zh-CN"/>
        </w:rPr>
        <w:t>力和</w:t>
      </w:r>
      <w:r>
        <w:rPr>
          <w:rFonts w:hint="eastAsia" w:ascii="宋体" w:hAnsi="宋体" w:eastAsia="宋体" w:cs="宋体"/>
          <w:szCs w:val="21"/>
        </w:rPr>
        <w:t>水平的成员组成项目小组进行实施及服务，要求项目建设期人员不少于</w:t>
      </w:r>
      <w:r>
        <w:rPr>
          <w:rFonts w:hint="eastAsia" w:ascii="宋体" w:hAnsi="宋体" w:cs="宋体"/>
          <w:szCs w:val="21"/>
          <w:lang w:val="en-US" w:eastAsia="zh-CN"/>
        </w:rPr>
        <w:t>10</w:t>
      </w:r>
      <w:r>
        <w:rPr>
          <w:rFonts w:hint="eastAsia" w:ascii="宋体" w:hAnsi="宋体" w:eastAsia="宋体" w:cs="宋体"/>
          <w:szCs w:val="21"/>
        </w:rPr>
        <w:t>人（其中项目负责人1人，技术负责人1人，</w:t>
      </w:r>
      <w:r>
        <w:rPr>
          <w:rFonts w:hint="eastAsia" w:ascii="宋体" w:hAnsi="宋体" w:eastAsia="宋体" w:cs="宋体"/>
          <w:color w:val="000000"/>
          <w:kern w:val="0"/>
          <w:szCs w:val="24"/>
        </w:rPr>
        <w:t>项目</w:t>
      </w:r>
      <w:r>
        <w:rPr>
          <w:rFonts w:hint="eastAsia" w:ascii="宋体" w:hAnsi="宋体" w:cs="宋体"/>
          <w:color w:val="000000"/>
          <w:kern w:val="0"/>
          <w:szCs w:val="24"/>
          <w:lang w:val="en-US" w:eastAsia="zh-CN"/>
        </w:rPr>
        <w:t>开发成员</w:t>
      </w:r>
      <w:r>
        <w:rPr>
          <w:rFonts w:hint="eastAsia" w:ascii="宋体" w:hAnsi="宋体" w:eastAsia="宋体" w:cs="宋体"/>
          <w:color w:val="000000"/>
          <w:kern w:val="0"/>
          <w:szCs w:val="24"/>
        </w:rPr>
        <w:t>不少于</w:t>
      </w:r>
      <w:r>
        <w:rPr>
          <w:rFonts w:hint="eastAsia" w:ascii="宋体" w:hAnsi="宋体" w:eastAsia="宋体" w:cs="宋体"/>
          <w:color w:val="000000"/>
          <w:kern w:val="0"/>
          <w:szCs w:val="24"/>
          <w:lang w:val="en-US" w:eastAsia="zh-CN"/>
        </w:rPr>
        <w:t>4</w:t>
      </w:r>
      <w:r>
        <w:rPr>
          <w:rFonts w:hint="eastAsia" w:ascii="宋体" w:hAnsi="宋体" w:eastAsia="宋体" w:cs="宋体"/>
          <w:szCs w:val="21"/>
        </w:rPr>
        <w:t>人</w:t>
      </w:r>
      <w:r>
        <w:rPr>
          <w:rFonts w:hint="eastAsia" w:ascii="宋体" w:hAnsi="宋体" w:cs="宋体"/>
          <w:szCs w:val="21"/>
          <w:lang w:eastAsia="zh-CN"/>
        </w:rPr>
        <w:t>，</w:t>
      </w:r>
      <w:r>
        <w:rPr>
          <w:rFonts w:hint="eastAsia" w:ascii="宋体" w:hAnsi="宋体" w:cs="宋体"/>
          <w:szCs w:val="21"/>
          <w:lang w:val="en-US" w:eastAsia="zh-CN"/>
        </w:rPr>
        <w:t>数据治理成员不少于4人；在项目服务期间，</w:t>
      </w:r>
      <w:r>
        <w:rPr>
          <w:rFonts w:hint="eastAsia" w:ascii="宋体" w:hAnsi="宋体" w:eastAsia="宋体" w:cs="宋体"/>
          <w:szCs w:val="21"/>
        </w:rPr>
        <w:t>至少3名驻场服务工程师）和免费维保期的团队人员不少于</w:t>
      </w:r>
      <w:r>
        <w:rPr>
          <w:rFonts w:hint="eastAsia" w:ascii="宋体" w:hAnsi="宋体" w:eastAsia="宋体" w:cs="宋体"/>
          <w:szCs w:val="21"/>
          <w:lang w:val="en-US" w:eastAsia="zh-CN"/>
        </w:rPr>
        <w:t>5</w:t>
      </w:r>
      <w:r>
        <w:rPr>
          <w:rFonts w:hint="eastAsia" w:ascii="宋体" w:hAnsi="宋体" w:eastAsia="宋体" w:cs="宋体"/>
          <w:szCs w:val="21"/>
        </w:rPr>
        <w:t>人。</w:t>
      </w:r>
    </w:p>
    <w:p w14:paraId="42765FF2">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hint="eastAsia" w:ascii="宋体" w:hAnsi="宋体" w:eastAsia="宋体" w:cs="宋体"/>
          <w:szCs w:val="21"/>
        </w:rPr>
      </w:pPr>
      <w:r>
        <w:rPr>
          <w:rFonts w:hint="eastAsia" w:ascii="宋体" w:hAnsi="宋体" w:eastAsia="宋体" w:cs="宋体"/>
          <w:szCs w:val="21"/>
        </w:rPr>
        <w:t>在项目服务期限内，项目组人员应相对稳定，更换项目组主要人员须提出书面申请，经采购方书面同意后方可更换。</w:t>
      </w:r>
    </w:p>
    <w:p w14:paraId="4EC8FC1C">
      <w:pPr>
        <w:pStyle w:val="13"/>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80" w:firstLineChars="0"/>
        <w:textAlignment w:val="auto"/>
        <w:rPr>
          <w:rFonts w:hint="eastAsia" w:ascii="宋体" w:hAnsi="宋体" w:eastAsia="宋体" w:cs="宋体"/>
          <w:b/>
          <w:bCs/>
          <w:lang w:val="en-US" w:eastAsia="zh-CN"/>
        </w:rPr>
      </w:pPr>
      <w:r>
        <w:rPr>
          <w:rFonts w:hint="eastAsia" w:ascii="宋体" w:hAnsi="宋体" w:eastAsia="宋体" w:cs="宋体"/>
          <w:b/>
          <w:bCs/>
          <w:lang w:val="en-US" w:eastAsia="zh-CN"/>
        </w:rPr>
        <w:t>投标时须提供项目整体服务团队人员名单。（格式自拟）</w:t>
      </w:r>
    </w:p>
    <w:p w14:paraId="17672A1F">
      <w:pPr>
        <w:pStyle w:val="13"/>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80" w:firstLineChars="200"/>
        <w:jc w:val="both"/>
        <w:textAlignment w:val="auto"/>
        <w:rPr>
          <w:rFonts w:hint="eastAsia" w:ascii="宋体" w:hAnsi="宋体" w:eastAsia="宋体" w:cs="宋体"/>
          <w:spacing w:val="0"/>
          <w:sz w:val="24"/>
          <w:szCs w:val="21"/>
        </w:rPr>
      </w:pPr>
      <w:r>
        <w:rPr>
          <w:rFonts w:hint="eastAsia" w:ascii="宋体" w:hAnsi="宋体" w:eastAsia="宋体" w:cs="宋体"/>
          <w:spacing w:val="0"/>
          <w:sz w:val="24"/>
          <w:szCs w:val="21"/>
        </w:rPr>
        <w:t>中标人在项目实施过程中出现资源、进度、质量协调控制不力的情况，采购人有权要求更换相关负责人，中标人必须予以配合，并确保不影响项目建设的进度和质量。</w:t>
      </w:r>
    </w:p>
    <w:p w14:paraId="6BC7B09D">
      <w:pPr>
        <w:pStyle w:val="13"/>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80" w:firstLineChars="200"/>
        <w:jc w:val="both"/>
        <w:textAlignment w:val="auto"/>
        <w:rPr>
          <w:rFonts w:hint="eastAsia" w:ascii="宋体" w:hAnsi="宋体" w:eastAsia="宋体" w:cs="宋体"/>
          <w:spacing w:val="0"/>
          <w:sz w:val="24"/>
          <w:szCs w:val="21"/>
        </w:rPr>
      </w:pPr>
      <w:r>
        <w:rPr>
          <w:rFonts w:hint="eastAsia" w:ascii="宋体" w:hAnsi="宋体" w:eastAsia="宋体" w:cs="宋体"/>
          <w:spacing w:val="0"/>
          <w:sz w:val="24"/>
          <w:szCs w:val="21"/>
        </w:rPr>
        <w:t>罚则：未经采购方书面同意更换项目负责人的，一次扣</w:t>
      </w:r>
      <w:r>
        <w:rPr>
          <w:rFonts w:hint="eastAsia" w:ascii="宋体" w:hAnsi="宋体" w:eastAsia="宋体" w:cs="宋体"/>
          <w:spacing w:val="0"/>
          <w:sz w:val="24"/>
          <w:szCs w:val="21"/>
          <w:lang w:val="en-US" w:eastAsia="zh-CN"/>
        </w:rPr>
        <w:t>10</w:t>
      </w:r>
      <w:r>
        <w:rPr>
          <w:rFonts w:hint="eastAsia" w:ascii="宋体" w:hAnsi="宋体" w:eastAsia="宋体" w:cs="宋体"/>
          <w:spacing w:val="0"/>
          <w:sz w:val="24"/>
          <w:szCs w:val="21"/>
        </w:rPr>
        <w:t>万元；未经采购方书面同意更换专业技术人员、驻场人员的，一人一次扣</w:t>
      </w:r>
      <w:r>
        <w:rPr>
          <w:rFonts w:hint="eastAsia" w:ascii="宋体" w:hAnsi="宋体" w:eastAsia="宋体" w:cs="宋体"/>
          <w:spacing w:val="0"/>
          <w:sz w:val="24"/>
          <w:szCs w:val="21"/>
          <w:lang w:val="en-US" w:eastAsia="zh-CN"/>
        </w:rPr>
        <w:t>2</w:t>
      </w:r>
      <w:r>
        <w:rPr>
          <w:rFonts w:hint="eastAsia" w:ascii="宋体" w:hAnsi="宋体" w:eastAsia="宋体" w:cs="宋体"/>
          <w:spacing w:val="0"/>
          <w:sz w:val="24"/>
          <w:szCs w:val="21"/>
        </w:rPr>
        <w:t>万元；未按照要求配置相应人员的，扣</w:t>
      </w:r>
      <w:r>
        <w:rPr>
          <w:rFonts w:hint="eastAsia" w:ascii="宋体" w:hAnsi="宋体" w:eastAsia="宋体" w:cs="宋体"/>
          <w:spacing w:val="0"/>
          <w:sz w:val="24"/>
          <w:szCs w:val="21"/>
          <w:lang w:val="en-US" w:eastAsia="zh-CN"/>
        </w:rPr>
        <w:t>10</w:t>
      </w:r>
      <w:r>
        <w:rPr>
          <w:rFonts w:hint="eastAsia" w:ascii="宋体" w:hAnsi="宋体" w:eastAsia="宋体" w:cs="宋体"/>
          <w:spacing w:val="0"/>
          <w:sz w:val="24"/>
          <w:szCs w:val="21"/>
        </w:rPr>
        <w:t>万元。</w:t>
      </w:r>
    </w:p>
    <w:p w14:paraId="3FB92ADA">
      <w:pPr>
        <w:pStyle w:val="13"/>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80" w:firstLineChars="200"/>
        <w:jc w:val="both"/>
        <w:textAlignment w:val="auto"/>
        <w:rPr>
          <w:rFonts w:hint="eastAsia" w:ascii="宋体" w:hAnsi="宋体" w:eastAsia="宋体" w:cs="宋体"/>
          <w:spacing w:val="0"/>
          <w:sz w:val="24"/>
          <w:szCs w:val="21"/>
        </w:rPr>
      </w:pPr>
    </w:p>
    <w:p w14:paraId="739EFAAB">
      <w:pPr>
        <w:pStyle w:val="3"/>
        <w:numPr>
          <w:ilvl w:val="0"/>
          <w:numId w:val="0"/>
        </w:numPr>
        <w:spacing w:line="400" w:lineRule="exact"/>
        <w:rPr>
          <w:rFonts w:ascii="黑体" w:hAnsi="黑体" w:eastAsia="黑体" w:cs="黑体"/>
          <w:b w:val="0"/>
          <w:sz w:val="28"/>
          <w:szCs w:val="52"/>
        </w:rPr>
      </w:pPr>
      <w:r>
        <w:rPr>
          <w:rFonts w:hint="eastAsia" w:ascii="黑体" w:hAnsi="黑体" w:eastAsia="黑体" w:cs="黑体"/>
          <w:b w:val="0"/>
          <w:sz w:val="28"/>
          <w:szCs w:val="52"/>
        </w:rPr>
        <w:t>五、项目质量保证、售后服务、培训要求</w:t>
      </w:r>
    </w:p>
    <w:p w14:paraId="6B57205C">
      <w:pPr>
        <w:spacing w:line="400" w:lineRule="exact"/>
        <w:ind w:firstLine="482"/>
        <w:rPr>
          <w:rFonts w:ascii="宋体" w:hAnsi="宋体" w:cs="楷体"/>
          <w:b/>
          <w:bCs/>
        </w:rPr>
      </w:pPr>
      <w:r>
        <w:rPr>
          <w:rFonts w:hint="eastAsia" w:ascii="宋体" w:hAnsi="宋体" w:cs="楷体"/>
          <w:b/>
          <w:bCs/>
        </w:rPr>
        <w:t>（一）质量保证</w:t>
      </w:r>
    </w:p>
    <w:p w14:paraId="25C3A93B">
      <w:pPr>
        <w:spacing w:line="400" w:lineRule="exact"/>
        <w:ind w:firstLine="480"/>
        <w:rPr>
          <w:rFonts w:hint="eastAsia" w:ascii="宋体" w:hAnsi="宋体" w:eastAsia="宋体" w:cs="宋体"/>
          <w:spacing w:val="0"/>
          <w:kern w:val="2"/>
          <w:sz w:val="24"/>
          <w:szCs w:val="21"/>
          <w:lang w:val="en-US" w:eastAsia="zh-CN" w:bidi="ar-SA"/>
        </w:rPr>
      </w:pPr>
      <w:r>
        <w:rPr>
          <w:rFonts w:hint="eastAsia" w:ascii="宋体" w:hAnsi="宋体" w:eastAsia="宋体" w:cs="宋体"/>
          <w:spacing w:val="0"/>
          <w:kern w:val="2"/>
          <w:sz w:val="24"/>
          <w:szCs w:val="21"/>
          <w:lang w:val="en-US" w:eastAsia="zh-CN" w:bidi="ar-SA"/>
        </w:rPr>
        <w:t>中标单位应按招标文件规定的技术要求、质量标准向甲方提供未经使用的全新产品，软件功能达到项目的技术要求。中标单位提供的软件及货物在质保期内因货物本身的质量问题发生故障，中标单位应负责免费维护、更换。</w:t>
      </w:r>
    </w:p>
    <w:p w14:paraId="2E206906">
      <w:pPr>
        <w:spacing w:line="400" w:lineRule="exact"/>
        <w:ind w:firstLine="482"/>
        <w:rPr>
          <w:rFonts w:ascii="宋体" w:hAnsi="宋体" w:cs="楷体"/>
          <w:b/>
          <w:bCs/>
        </w:rPr>
      </w:pPr>
      <w:r>
        <w:rPr>
          <w:rFonts w:hint="eastAsia" w:ascii="宋体" w:hAnsi="宋体" w:cs="楷体"/>
          <w:b/>
          <w:bCs/>
        </w:rPr>
        <w:t>（二）售后服务</w:t>
      </w:r>
    </w:p>
    <w:p w14:paraId="44602098">
      <w:pPr>
        <w:spacing w:line="400" w:lineRule="exact"/>
        <w:ind w:firstLine="480"/>
        <w:rPr>
          <w:rFonts w:ascii="宋体" w:hAnsi="宋体" w:cs="楷体"/>
        </w:rPr>
      </w:pPr>
      <w:r>
        <w:rPr>
          <w:rFonts w:hint="eastAsia" w:ascii="宋体" w:hAnsi="宋体" w:cs="楷体"/>
        </w:rPr>
        <w:t>中标方免费运维期为项目终验合格之日起</w:t>
      </w:r>
      <w:r>
        <w:rPr>
          <w:rFonts w:hint="eastAsia" w:ascii="宋体" w:hAnsi="宋体" w:cs="楷体"/>
          <w:lang w:val="en-US" w:eastAsia="zh-CN"/>
        </w:rPr>
        <w:t>三</w:t>
      </w:r>
      <w:r>
        <w:rPr>
          <w:rFonts w:hint="eastAsia" w:ascii="宋体" w:hAnsi="宋体" w:cs="楷体"/>
        </w:rPr>
        <w:t>年</w:t>
      </w:r>
      <w:r>
        <w:rPr>
          <w:rFonts w:hint="eastAsia" w:ascii="宋体" w:hAnsi="宋体" w:cs="楷体"/>
          <w:b w:val="0"/>
          <w:bCs w:val="0"/>
          <w:sz w:val="24"/>
          <w:szCs w:val="22"/>
        </w:rPr>
        <w:t>（在免费维保期内须提供及时售后运维服务）</w:t>
      </w:r>
      <w:r>
        <w:rPr>
          <w:rFonts w:hint="eastAsia" w:ascii="宋体" w:hAnsi="宋体" w:cs="楷体"/>
        </w:rPr>
        <w:t>。</w:t>
      </w:r>
    </w:p>
    <w:p w14:paraId="1F4996C0">
      <w:pPr>
        <w:spacing w:line="400" w:lineRule="exact"/>
        <w:ind w:firstLine="480"/>
        <w:rPr>
          <w:rFonts w:ascii="宋体" w:hAnsi="宋体" w:cs="楷体"/>
        </w:rPr>
      </w:pPr>
      <w:r>
        <w:rPr>
          <w:rFonts w:hint="eastAsia" w:ascii="宋体" w:hAnsi="宋体" w:cs="楷体"/>
        </w:rPr>
        <w:t>（1）热线电话服务：</w:t>
      </w:r>
      <w:r>
        <w:rPr>
          <w:rFonts w:hint="eastAsia" w:ascii="宋体" w:hAnsi="宋体" w:cs="宋体"/>
          <w:szCs w:val="24"/>
          <w:lang w:eastAsia="zh-CN"/>
        </w:rPr>
        <w:t>中标人</w:t>
      </w:r>
      <w:r>
        <w:rPr>
          <w:rFonts w:ascii="宋体" w:hAnsi="宋体" w:cs="宋体"/>
          <w:szCs w:val="24"/>
        </w:rPr>
        <w:t>应当为采购人提供7*24小时技术服务电话，解答采购人在使用中遇到的问题，及时为采购人提出解决问题的建议。</w:t>
      </w:r>
    </w:p>
    <w:p w14:paraId="7782370E">
      <w:pPr>
        <w:spacing w:line="400" w:lineRule="exact"/>
        <w:ind w:firstLine="480"/>
        <w:rPr>
          <w:rFonts w:ascii="宋体" w:hAnsi="宋体" w:cs="楷体"/>
        </w:rPr>
      </w:pPr>
      <w:r>
        <w:rPr>
          <w:rFonts w:hint="eastAsia" w:ascii="宋体" w:hAnsi="宋体" w:cs="楷体"/>
        </w:rPr>
        <w:t>（2）远程诊断服务：对于电话支持不能解决的系统故障，中标方技术工程师根据问题症状，首先启动远程诊断，指导客户方系统维护人员解决问题，如在2小时内不能解决，则转入现场服务流程。</w:t>
      </w:r>
    </w:p>
    <w:p w14:paraId="2995823C">
      <w:pPr>
        <w:spacing w:line="400" w:lineRule="exact"/>
        <w:ind w:firstLine="480"/>
        <w:rPr>
          <w:rFonts w:ascii="宋体" w:hAnsi="宋体" w:cs="楷体"/>
        </w:rPr>
      </w:pPr>
      <w:r>
        <w:rPr>
          <w:rFonts w:hint="eastAsia" w:ascii="宋体" w:hAnsi="宋体" w:cs="楷体"/>
        </w:rPr>
        <w:t>（3）现场服务：对通过电话和远程诊断均不能解决的技术问题，或客户有直接要求的重大系统故障，中标方承诺从接到系统报障起算的2小时内到达现场，按问题级别在规定的时间内解决问题，恢复系统正常运行。</w:t>
      </w:r>
    </w:p>
    <w:p w14:paraId="652FFAF9">
      <w:pPr>
        <w:widowControl/>
        <w:adjustRightInd/>
        <w:snapToGrid/>
        <w:spacing w:line="400" w:lineRule="exact"/>
        <w:ind w:firstLine="480" w:firstLineChars="0"/>
        <w:rPr>
          <w:rFonts w:ascii="宋体" w:hAnsi="宋体" w:cs="楷体"/>
        </w:rPr>
      </w:pPr>
      <w:r>
        <w:rPr>
          <w:rFonts w:hint="eastAsia" w:ascii="宋体" w:hAnsi="宋体" w:cs="楷体"/>
        </w:rPr>
        <w:t>（4）</w:t>
      </w:r>
      <w:bookmarkStart w:id="3" w:name="_Toc182390201"/>
      <w:r>
        <w:rPr>
          <w:rFonts w:hint="eastAsia" w:ascii="宋体" w:hAnsi="宋体" w:cs="楷体"/>
        </w:rPr>
        <w:t>考核及罚款细则</w:t>
      </w:r>
      <w:bookmarkEnd w:id="3"/>
    </w:p>
    <w:p w14:paraId="6B3BC86B">
      <w:pPr>
        <w:widowControl/>
        <w:adjustRightInd/>
        <w:snapToGrid/>
        <w:spacing w:line="400" w:lineRule="exact"/>
        <w:ind w:firstLine="480"/>
        <w:rPr>
          <w:rFonts w:ascii="宋体" w:hAnsi="宋体" w:cs="楷体"/>
        </w:rPr>
      </w:pPr>
      <w:r>
        <w:rPr>
          <w:rFonts w:hint="eastAsia" w:ascii="宋体" w:hAnsi="宋体" w:cs="楷体"/>
        </w:rPr>
        <w:t>1、</w:t>
      </w:r>
      <w:r>
        <w:rPr>
          <w:rFonts w:hint="eastAsia" w:ascii="宋体" w:hAnsi="宋体" w:cs="楷体"/>
          <w:lang w:eastAsia="zh-CN"/>
        </w:rPr>
        <w:t>中标人</w:t>
      </w:r>
      <w:r>
        <w:rPr>
          <w:rFonts w:hint="eastAsia" w:ascii="宋体" w:hAnsi="宋体" w:cs="楷体"/>
        </w:rPr>
        <w:t>在提供服务的过程中，涉及数据信息安全的，</w:t>
      </w:r>
      <w:r>
        <w:rPr>
          <w:rFonts w:hint="eastAsia" w:ascii="宋体" w:hAnsi="宋体" w:cs="楷体"/>
          <w:lang w:eastAsia="zh-CN"/>
        </w:rPr>
        <w:t>中标人</w:t>
      </w:r>
      <w:r>
        <w:rPr>
          <w:rFonts w:hint="eastAsia" w:ascii="宋体" w:hAnsi="宋体" w:cs="楷体"/>
        </w:rPr>
        <w:t>应当对本、项目履行过程中所知悉的数据信息、采购方商业秘密及服务对象的涉密信息承担保密义务。如因</w:t>
      </w:r>
      <w:r>
        <w:rPr>
          <w:rFonts w:hint="eastAsia" w:ascii="宋体" w:hAnsi="宋体" w:cs="楷体"/>
          <w:lang w:eastAsia="zh-CN"/>
        </w:rPr>
        <w:t>中标人</w:t>
      </w:r>
      <w:r>
        <w:rPr>
          <w:rFonts w:hint="eastAsia" w:ascii="宋体" w:hAnsi="宋体" w:cs="楷体"/>
        </w:rPr>
        <w:t>行为造成数据安全事故，导致采购方及服务对象的数据资源、声誉等受到损害或泄露，</w:t>
      </w:r>
      <w:r>
        <w:rPr>
          <w:rFonts w:hint="eastAsia" w:ascii="宋体" w:hAnsi="宋体" w:cs="楷体"/>
          <w:lang w:eastAsia="zh-CN"/>
        </w:rPr>
        <w:t>中标人</w:t>
      </w:r>
      <w:r>
        <w:rPr>
          <w:rFonts w:hint="eastAsia" w:ascii="宋体" w:hAnsi="宋体" w:cs="楷体"/>
        </w:rPr>
        <w:t>应承担以下责任：</w:t>
      </w:r>
    </w:p>
    <w:p w14:paraId="5099CBDA">
      <w:pPr>
        <w:widowControl/>
        <w:adjustRightInd/>
        <w:snapToGrid/>
        <w:spacing w:line="400" w:lineRule="exact"/>
        <w:ind w:firstLine="480" w:firstLineChars="0"/>
        <w:rPr>
          <w:rFonts w:ascii="宋体" w:hAnsi="宋体" w:cs="楷体"/>
        </w:rPr>
      </w:pPr>
      <w:r>
        <w:rPr>
          <w:rFonts w:hint="eastAsia" w:ascii="宋体" w:hAnsi="宋体" w:cs="楷体"/>
        </w:rPr>
        <w:t>及时同步通知采购方和需求方并采取紧急措施，最大限度地减少损失和恢复数据；</w:t>
      </w:r>
    </w:p>
    <w:p w14:paraId="76966ED1">
      <w:pPr>
        <w:widowControl/>
        <w:adjustRightInd/>
        <w:snapToGrid/>
        <w:spacing w:line="400" w:lineRule="exact"/>
        <w:ind w:firstLine="480" w:firstLineChars="0"/>
        <w:rPr>
          <w:rFonts w:ascii="宋体" w:hAnsi="宋体" w:cs="楷体"/>
        </w:rPr>
      </w:pPr>
      <w:r>
        <w:rPr>
          <w:rFonts w:hint="eastAsia" w:ascii="宋体" w:hAnsi="宋体" w:cs="楷体"/>
        </w:rPr>
        <w:t>提供详细的事故调查报告，说明事件的原因、影响范围以及后续处理措施；</w:t>
      </w:r>
    </w:p>
    <w:p w14:paraId="3CAB67B0">
      <w:pPr>
        <w:widowControl/>
        <w:adjustRightInd/>
        <w:snapToGrid/>
        <w:spacing w:line="400" w:lineRule="exact"/>
        <w:ind w:firstLine="480" w:firstLineChars="0"/>
        <w:rPr>
          <w:rFonts w:ascii="宋体" w:hAnsi="宋体" w:cs="楷体"/>
        </w:rPr>
      </w:pPr>
      <w:r>
        <w:rPr>
          <w:rFonts w:hint="eastAsia" w:ascii="宋体" w:hAnsi="宋体" w:cs="楷体"/>
        </w:rPr>
        <w:t>承担因安全事件导致的一切经济损失，包括但不限于修复、恢复、补偿等费用；</w:t>
      </w:r>
    </w:p>
    <w:p w14:paraId="4FC540B0">
      <w:pPr>
        <w:widowControl/>
        <w:adjustRightInd/>
        <w:snapToGrid/>
        <w:spacing w:line="400" w:lineRule="exact"/>
        <w:ind w:firstLine="480" w:firstLineChars="0"/>
        <w:rPr>
          <w:rFonts w:ascii="宋体" w:hAnsi="宋体" w:cs="楷体"/>
        </w:rPr>
      </w:pPr>
      <w:r>
        <w:rPr>
          <w:rFonts w:hint="eastAsia" w:ascii="宋体" w:hAnsi="宋体" w:cs="楷体"/>
        </w:rPr>
        <w:t>进行内部整改，并向采购方提供整改报告，说明采取的措施和改进方案；</w:t>
      </w:r>
    </w:p>
    <w:p w14:paraId="39429A43">
      <w:pPr>
        <w:widowControl/>
        <w:adjustRightInd/>
        <w:snapToGrid/>
        <w:spacing w:line="400" w:lineRule="exact"/>
        <w:ind w:firstLine="480" w:firstLineChars="0"/>
        <w:rPr>
          <w:rFonts w:ascii="宋体" w:hAnsi="宋体" w:cs="楷体"/>
        </w:rPr>
      </w:pPr>
      <w:r>
        <w:rPr>
          <w:rFonts w:hint="eastAsia" w:ascii="宋体" w:hAnsi="宋体" w:cs="楷体"/>
        </w:rPr>
        <w:t>配合采购方进行相关调查，提供必要的技术支持和合作；</w:t>
      </w:r>
    </w:p>
    <w:p w14:paraId="7EA3B079">
      <w:pPr>
        <w:widowControl/>
        <w:adjustRightInd/>
        <w:snapToGrid/>
        <w:spacing w:line="400" w:lineRule="exact"/>
        <w:ind w:firstLine="480" w:firstLineChars="0"/>
        <w:rPr>
          <w:rFonts w:ascii="宋体" w:hAnsi="宋体" w:cs="楷体"/>
        </w:rPr>
      </w:pPr>
      <w:r>
        <w:rPr>
          <w:rFonts w:hint="eastAsia" w:ascii="宋体" w:hAnsi="宋体" w:cs="楷体"/>
        </w:rPr>
        <w:t>情节严重的，追究行政及刑事责任。并承担合同总额30％的违约金，违约金不足以弥补损失的，另行赔偿；</w:t>
      </w:r>
    </w:p>
    <w:p w14:paraId="65F40401">
      <w:pPr>
        <w:widowControl/>
        <w:adjustRightInd/>
        <w:snapToGrid/>
        <w:spacing w:line="400" w:lineRule="exact"/>
        <w:ind w:firstLine="480" w:firstLineChars="0"/>
        <w:rPr>
          <w:rFonts w:ascii="宋体" w:hAnsi="宋体" w:cs="楷体"/>
        </w:rPr>
      </w:pPr>
      <w:r>
        <w:rPr>
          <w:rFonts w:hint="eastAsia" w:ascii="宋体" w:hAnsi="宋体" w:cs="楷体"/>
        </w:rPr>
        <w:t>2、系统升级服务：在系统质保期内，对系统的自身故障、因外部原因（操作系统故障或系统配置故障或对应用软件某些错误操作等）导致软件系统出现故障的解决以及对软件系统的合理修改等一切维护费用均由</w:t>
      </w:r>
      <w:r>
        <w:rPr>
          <w:rFonts w:hint="eastAsia" w:ascii="宋体" w:hAnsi="宋体" w:cs="楷体"/>
          <w:lang w:eastAsia="zh-CN"/>
        </w:rPr>
        <w:t>投标人</w:t>
      </w:r>
      <w:r>
        <w:rPr>
          <w:rFonts w:hint="eastAsia" w:ascii="宋体" w:hAnsi="宋体" w:cs="楷体"/>
        </w:rPr>
        <w:t>承担，并提供免费软件故障排除、补丁安装、软件重装等技术支持及维护服务。</w:t>
      </w:r>
    </w:p>
    <w:p w14:paraId="1849BA42">
      <w:pPr>
        <w:widowControl/>
        <w:adjustRightInd/>
        <w:snapToGrid/>
        <w:spacing w:line="400" w:lineRule="exact"/>
        <w:ind w:firstLine="480" w:firstLineChars="0"/>
        <w:rPr>
          <w:rFonts w:ascii="宋体" w:hAnsi="宋体" w:cs="楷体"/>
        </w:rPr>
      </w:pPr>
      <w:r>
        <w:rPr>
          <w:rFonts w:hint="eastAsia" w:ascii="宋体" w:hAnsi="宋体" w:cs="楷体"/>
        </w:rPr>
        <w:t>3、</w:t>
      </w:r>
      <w:r>
        <w:rPr>
          <w:rFonts w:hint="eastAsia" w:ascii="宋体" w:hAnsi="宋体" w:cs="楷体"/>
          <w:lang w:eastAsia="zh-CN"/>
        </w:rPr>
        <w:t>中标人</w:t>
      </w:r>
      <w:r>
        <w:rPr>
          <w:rFonts w:hint="eastAsia" w:ascii="宋体" w:hAnsi="宋体" w:cs="楷体"/>
        </w:rPr>
        <w:t>原因导致项目进度未按采购要求完成或未按响应时项目建设方案中的计划按时间完成的，采购方有权终止合同。</w:t>
      </w:r>
    </w:p>
    <w:p w14:paraId="20235E13">
      <w:pPr>
        <w:widowControl/>
        <w:adjustRightInd/>
        <w:snapToGrid/>
        <w:spacing w:line="400" w:lineRule="exact"/>
        <w:ind w:firstLine="480" w:firstLineChars="0"/>
        <w:rPr>
          <w:rFonts w:ascii="宋体" w:hAnsi="宋体" w:cs="楷体"/>
        </w:rPr>
      </w:pPr>
      <w:r>
        <w:rPr>
          <w:rFonts w:hint="eastAsia" w:ascii="宋体" w:hAnsi="宋体" w:cs="楷体"/>
        </w:rPr>
        <w:t>4、</w:t>
      </w:r>
      <w:r>
        <w:rPr>
          <w:rFonts w:hint="eastAsia" w:ascii="宋体" w:hAnsi="宋体" w:cs="楷体"/>
          <w:lang w:eastAsia="zh-CN"/>
        </w:rPr>
        <w:t>中标人</w:t>
      </w:r>
      <w:r>
        <w:rPr>
          <w:rFonts w:hint="eastAsia" w:ascii="宋体" w:hAnsi="宋体" w:cs="楷体"/>
        </w:rPr>
        <w:t>在实施过程中出现资源、进度、质量协调控制不力的情况，采购方有权要求更换相关负责人，</w:t>
      </w:r>
      <w:r>
        <w:rPr>
          <w:rFonts w:hint="eastAsia" w:ascii="宋体" w:hAnsi="宋体" w:cs="楷体"/>
          <w:lang w:eastAsia="zh-CN"/>
        </w:rPr>
        <w:t>中标人</w:t>
      </w:r>
      <w:r>
        <w:rPr>
          <w:rFonts w:hint="eastAsia" w:ascii="宋体" w:hAnsi="宋体" w:cs="楷体"/>
        </w:rPr>
        <w:t>必须予以配合，并确保不影响项目建设的进度和质量。</w:t>
      </w:r>
    </w:p>
    <w:p w14:paraId="672B144B">
      <w:pPr>
        <w:widowControl/>
        <w:adjustRightInd/>
        <w:snapToGrid/>
        <w:spacing w:line="400" w:lineRule="exact"/>
        <w:ind w:firstLine="480" w:firstLineChars="0"/>
        <w:rPr>
          <w:rFonts w:ascii="宋体" w:hAnsi="宋体" w:cs="楷体"/>
        </w:rPr>
      </w:pPr>
      <w:r>
        <w:rPr>
          <w:rFonts w:hint="eastAsia" w:ascii="宋体" w:hAnsi="宋体" w:cs="楷体"/>
        </w:rPr>
        <w:t>5、罚则：以下故障问题的修复，如因第三方提供设备或软件引起的故障，</w:t>
      </w:r>
      <w:r>
        <w:rPr>
          <w:rFonts w:hint="eastAsia" w:ascii="宋体" w:hAnsi="宋体" w:cs="楷体"/>
          <w:lang w:eastAsia="zh-CN"/>
        </w:rPr>
        <w:t>投标人</w:t>
      </w:r>
      <w:r>
        <w:rPr>
          <w:rFonts w:hint="eastAsia" w:ascii="宋体" w:hAnsi="宋体" w:cs="楷体"/>
        </w:rPr>
        <w:t>有责任及时报告采购方，在第三方修复设备或软件时提供必要的配合，但第三方提供设备或软件本身的修复，不在</w:t>
      </w:r>
      <w:r>
        <w:rPr>
          <w:rFonts w:hint="eastAsia" w:ascii="宋体" w:hAnsi="宋体" w:cs="楷体"/>
          <w:lang w:eastAsia="zh-CN"/>
        </w:rPr>
        <w:t>投标人</w:t>
      </w:r>
      <w:r>
        <w:rPr>
          <w:rFonts w:hint="eastAsia" w:ascii="宋体" w:hAnsi="宋体" w:cs="楷体"/>
        </w:rPr>
        <w:t>的服务范围内。</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210"/>
        <w:gridCol w:w="3299"/>
        <w:gridCol w:w="1877"/>
        <w:gridCol w:w="1361"/>
      </w:tblGrid>
      <w:tr w14:paraId="295C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1B2EE37D">
            <w:pPr>
              <w:spacing w:line="400" w:lineRule="exact"/>
              <w:ind w:firstLine="0" w:firstLineChars="0"/>
              <w:jc w:val="center"/>
              <w:rPr>
                <w:rFonts w:ascii="宋体" w:hAnsi="宋体" w:cs="楷体"/>
                <w:sz w:val="21"/>
                <w:szCs w:val="21"/>
              </w:rPr>
            </w:pPr>
            <w:r>
              <w:rPr>
                <w:rFonts w:hint="eastAsia" w:ascii="宋体" w:hAnsi="宋体" w:cs="楷体"/>
                <w:sz w:val="21"/>
                <w:szCs w:val="21"/>
              </w:rPr>
              <w:t>序号</w:t>
            </w:r>
          </w:p>
        </w:tc>
        <w:tc>
          <w:tcPr>
            <w:tcW w:w="710" w:type="pct"/>
            <w:vAlign w:val="center"/>
          </w:tcPr>
          <w:p w14:paraId="6475BB0A">
            <w:pPr>
              <w:spacing w:line="400" w:lineRule="exact"/>
              <w:ind w:firstLine="0" w:firstLineChars="0"/>
              <w:jc w:val="center"/>
              <w:rPr>
                <w:rFonts w:ascii="宋体" w:hAnsi="宋体" w:cs="楷体"/>
                <w:sz w:val="21"/>
                <w:szCs w:val="21"/>
              </w:rPr>
            </w:pPr>
            <w:r>
              <w:rPr>
                <w:rFonts w:hint="eastAsia" w:ascii="宋体" w:hAnsi="宋体" w:cs="楷体"/>
                <w:sz w:val="21"/>
                <w:szCs w:val="21"/>
              </w:rPr>
              <w:t>故障分级</w:t>
            </w:r>
          </w:p>
        </w:tc>
        <w:tc>
          <w:tcPr>
            <w:tcW w:w="1935" w:type="pct"/>
            <w:vAlign w:val="center"/>
          </w:tcPr>
          <w:p w14:paraId="614367B0">
            <w:pPr>
              <w:spacing w:line="400" w:lineRule="exact"/>
              <w:ind w:firstLine="480" w:firstLineChars="0"/>
              <w:jc w:val="center"/>
              <w:rPr>
                <w:rFonts w:ascii="宋体" w:hAnsi="宋体" w:cs="楷体"/>
                <w:sz w:val="21"/>
                <w:szCs w:val="21"/>
              </w:rPr>
            </w:pPr>
            <w:r>
              <w:rPr>
                <w:rFonts w:hint="eastAsia" w:ascii="宋体" w:hAnsi="宋体" w:cs="楷体"/>
                <w:sz w:val="21"/>
                <w:szCs w:val="21"/>
              </w:rPr>
              <w:t>问题描述</w:t>
            </w:r>
          </w:p>
        </w:tc>
        <w:tc>
          <w:tcPr>
            <w:tcW w:w="1101" w:type="pct"/>
            <w:vAlign w:val="center"/>
          </w:tcPr>
          <w:p w14:paraId="53406DD2">
            <w:pPr>
              <w:spacing w:line="400" w:lineRule="exact"/>
              <w:ind w:firstLine="0" w:firstLineChars="0"/>
              <w:jc w:val="center"/>
              <w:rPr>
                <w:rFonts w:ascii="宋体" w:hAnsi="宋体" w:cs="楷体"/>
                <w:sz w:val="21"/>
                <w:szCs w:val="21"/>
              </w:rPr>
            </w:pPr>
            <w:r>
              <w:rPr>
                <w:rFonts w:hint="eastAsia" w:ascii="宋体" w:hAnsi="宋体" w:cs="楷体"/>
                <w:sz w:val="21"/>
                <w:szCs w:val="21"/>
              </w:rPr>
              <w:t>修复超时罚款</w:t>
            </w:r>
          </w:p>
        </w:tc>
        <w:tc>
          <w:tcPr>
            <w:tcW w:w="798" w:type="pct"/>
            <w:vAlign w:val="center"/>
          </w:tcPr>
          <w:p w14:paraId="7F8752EF">
            <w:pPr>
              <w:spacing w:line="400" w:lineRule="exact"/>
              <w:ind w:firstLine="0" w:firstLineChars="0"/>
              <w:jc w:val="center"/>
              <w:rPr>
                <w:rFonts w:ascii="宋体" w:hAnsi="宋体" w:cs="楷体"/>
                <w:sz w:val="21"/>
                <w:szCs w:val="21"/>
              </w:rPr>
            </w:pPr>
            <w:r>
              <w:rPr>
                <w:rFonts w:hint="eastAsia" w:ascii="宋体" w:hAnsi="宋体" w:cs="楷体"/>
                <w:sz w:val="21"/>
                <w:szCs w:val="21"/>
              </w:rPr>
              <w:t>备注</w:t>
            </w:r>
          </w:p>
        </w:tc>
      </w:tr>
      <w:tr w14:paraId="029B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4B4672EC">
            <w:pPr>
              <w:spacing w:line="400" w:lineRule="exact"/>
              <w:ind w:firstLine="0" w:firstLineChars="0"/>
              <w:jc w:val="center"/>
              <w:rPr>
                <w:rFonts w:ascii="宋体" w:hAnsi="宋体" w:cs="楷体"/>
                <w:sz w:val="21"/>
                <w:szCs w:val="21"/>
              </w:rPr>
            </w:pPr>
            <w:r>
              <w:rPr>
                <w:rFonts w:hint="eastAsia" w:ascii="宋体" w:hAnsi="宋体" w:cs="楷体"/>
                <w:sz w:val="21"/>
                <w:szCs w:val="21"/>
              </w:rPr>
              <w:t>1</w:t>
            </w:r>
          </w:p>
        </w:tc>
        <w:tc>
          <w:tcPr>
            <w:tcW w:w="710" w:type="pct"/>
            <w:vAlign w:val="center"/>
          </w:tcPr>
          <w:p w14:paraId="68DD29E7">
            <w:pPr>
              <w:spacing w:line="400" w:lineRule="exact"/>
              <w:ind w:firstLine="0" w:firstLineChars="0"/>
              <w:jc w:val="center"/>
              <w:rPr>
                <w:rFonts w:ascii="宋体" w:hAnsi="宋体" w:cs="楷体"/>
                <w:sz w:val="21"/>
                <w:szCs w:val="21"/>
              </w:rPr>
            </w:pPr>
            <w:r>
              <w:rPr>
                <w:rFonts w:hint="eastAsia" w:ascii="宋体" w:hAnsi="宋体" w:cs="楷体"/>
                <w:sz w:val="21"/>
                <w:szCs w:val="21"/>
              </w:rPr>
              <w:t>一级</w:t>
            </w:r>
          </w:p>
        </w:tc>
        <w:tc>
          <w:tcPr>
            <w:tcW w:w="1935" w:type="pct"/>
            <w:vAlign w:val="center"/>
          </w:tcPr>
          <w:p w14:paraId="679D572A">
            <w:pPr>
              <w:spacing w:line="400" w:lineRule="exact"/>
              <w:ind w:firstLine="0" w:firstLineChars="0"/>
              <w:jc w:val="center"/>
              <w:rPr>
                <w:rFonts w:ascii="宋体" w:hAnsi="宋体" w:cs="楷体"/>
                <w:sz w:val="21"/>
                <w:szCs w:val="21"/>
              </w:rPr>
            </w:pPr>
            <w:r>
              <w:rPr>
                <w:rFonts w:hint="eastAsia" w:ascii="宋体" w:hAnsi="宋体" w:cs="楷体"/>
                <w:sz w:val="21"/>
                <w:szCs w:val="21"/>
              </w:rPr>
              <w:t>数据库、应用信息系统等故障，造成系统登录及业务整体受影响</w:t>
            </w:r>
          </w:p>
        </w:tc>
        <w:tc>
          <w:tcPr>
            <w:tcW w:w="1101" w:type="pct"/>
            <w:vAlign w:val="center"/>
          </w:tcPr>
          <w:p w14:paraId="447A1CD6">
            <w:pPr>
              <w:spacing w:line="400" w:lineRule="exact"/>
              <w:ind w:firstLine="0" w:firstLineChars="0"/>
              <w:jc w:val="center"/>
              <w:rPr>
                <w:rFonts w:ascii="宋体" w:hAnsi="宋体" w:cs="楷体"/>
                <w:sz w:val="21"/>
                <w:szCs w:val="21"/>
              </w:rPr>
            </w:pPr>
            <w:r>
              <w:rPr>
                <w:rFonts w:hint="eastAsia" w:ascii="宋体" w:hAnsi="宋体" w:cs="楷体"/>
                <w:sz w:val="21"/>
                <w:szCs w:val="21"/>
              </w:rPr>
              <w:t>超过2小时后，单次延迟1小时扣款2000元</w:t>
            </w:r>
          </w:p>
        </w:tc>
        <w:tc>
          <w:tcPr>
            <w:tcW w:w="798" w:type="pct"/>
            <w:vAlign w:val="center"/>
          </w:tcPr>
          <w:p w14:paraId="24A7D858">
            <w:pPr>
              <w:spacing w:line="400" w:lineRule="exact"/>
              <w:ind w:firstLine="0" w:firstLineChars="0"/>
              <w:jc w:val="center"/>
              <w:rPr>
                <w:rFonts w:ascii="宋体" w:hAnsi="宋体" w:cs="楷体"/>
                <w:sz w:val="21"/>
                <w:szCs w:val="21"/>
              </w:rPr>
            </w:pPr>
            <w:r>
              <w:rPr>
                <w:rFonts w:hint="eastAsia" w:ascii="宋体" w:hAnsi="宋体" w:cs="楷体"/>
                <w:sz w:val="21"/>
                <w:szCs w:val="21"/>
              </w:rPr>
              <w:t>按单次计算</w:t>
            </w:r>
          </w:p>
        </w:tc>
      </w:tr>
      <w:tr w14:paraId="7BA0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6BB1106A">
            <w:pPr>
              <w:spacing w:line="400" w:lineRule="exact"/>
              <w:ind w:firstLine="0" w:firstLineChars="0"/>
              <w:jc w:val="center"/>
              <w:rPr>
                <w:rFonts w:ascii="宋体" w:hAnsi="宋体" w:cs="楷体"/>
                <w:sz w:val="21"/>
                <w:szCs w:val="21"/>
              </w:rPr>
            </w:pPr>
            <w:r>
              <w:rPr>
                <w:rFonts w:hint="eastAsia" w:ascii="宋体" w:hAnsi="宋体" w:cs="楷体"/>
                <w:sz w:val="21"/>
                <w:szCs w:val="21"/>
              </w:rPr>
              <w:t>2</w:t>
            </w:r>
          </w:p>
        </w:tc>
        <w:tc>
          <w:tcPr>
            <w:tcW w:w="710" w:type="pct"/>
            <w:vAlign w:val="center"/>
          </w:tcPr>
          <w:p w14:paraId="7EE427F2">
            <w:pPr>
              <w:spacing w:line="400" w:lineRule="exact"/>
              <w:ind w:firstLine="0" w:firstLineChars="0"/>
              <w:jc w:val="center"/>
              <w:rPr>
                <w:rFonts w:ascii="宋体" w:hAnsi="宋体" w:cs="楷体"/>
                <w:sz w:val="21"/>
                <w:szCs w:val="21"/>
              </w:rPr>
            </w:pPr>
            <w:r>
              <w:rPr>
                <w:rFonts w:hint="eastAsia" w:ascii="宋体" w:hAnsi="宋体" w:cs="楷体"/>
                <w:sz w:val="21"/>
                <w:szCs w:val="21"/>
              </w:rPr>
              <w:t>二级</w:t>
            </w:r>
          </w:p>
        </w:tc>
        <w:tc>
          <w:tcPr>
            <w:tcW w:w="1935" w:type="pct"/>
            <w:vAlign w:val="center"/>
          </w:tcPr>
          <w:p w14:paraId="42ECAE9E">
            <w:pPr>
              <w:spacing w:line="400" w:lineRule="exact"/>
              <w:ind w:firstLine="0" w:firstLineChars="0"/>
              <w:jc w:val="center"/>
              <w:rPr>
                <w:rFonts w:ascii="宋体" w:hAnsi="宋体" w:cs="楷体"/>
                <w:sz w:val="21"/>
                <w:szCs w:val="21"/>
              </w:rPr>
            </w:pPr>
            <w:r>
              <w:rPr>
                <w:rFonts w:hint="eastAsia" w:ascii="宋体" w:hAnsi="宋体" w:cs="楷体"/>
                <w:sz w:val="21"/>
                <w:szCs w:val="21"/>
              </w:rPr>
              <w:t>系统性能严重下降、部分功能受到影响</w:t>
            </w:r>
          </w:p>
        </w:tc>
        <w:tc>
          <w:tcPr>
            <w:tcW w:w="1101" w:type="pct"/>
            <w:vAlign w:val="center"/>
          </w:tcPr>
          <w:p w14:paraId="0D43496E">
            <w:pPr>
              <w:spacing w:line="400" w:lineRule="exact"/>
              <w:ind w:firstLine="0" w:firstLineChars="0"/>
              <w:jc w:val="center"/>
              <w:rPr>
                <w:rFonts w:ascii="宋体" w:hAnsi="宋体" w:cs="楷体"/>
                <w:sz w:val="21"/>
                <w:szCs w:val="21"/>
              </w:rPr>
            </w:pPr>
            <w:r>
              <w:rPr>
                <w:rFonts w:hint="eastAsia" w:ascii="宋体" w:hAnsi="宋体" w:cs="楷体"/>
                <w:sz w:val="21"/>
                <w:szCs w:val="21"/>
              </w:rPr>
              <w:t>超过4小时后，单次每增加4小时扣款1000元</w:t>
            </w:r>
          </w:p>
        </w:tc>
        <w:tc>
          <w:tcPr>
            <w:tcW w:w="798" w:type="pct"/>
            <w:shd w:val="clear" w:color="auto" w:fill="auto"/>
            <w:vAlign w:val="center"/>
          </w:tcPr>
          <w:p w14:paraId="624D4401">
            <w:pPr>
              <w:spacing w:line="400" w:lineRule="exact"/>
              <w:ind w:firstLine="0" w:firstLineChars="0"/>
              <w:jc w:val="center"/>
              <w:rPr>
                <w:rFonts w:ascii="宋体" w:hAnsi="宋体" w:cs="楷体"/>
                <w:sz w:val="21"/>
                <w:szCs w:val="21"/>
              </w:rPr>
            </w:pPr>
            <w:r>
              <w:rPr>
                <w:rFonts w:hint="eastAsia" w:ascii="宋体" w:hAnsi="宋体" w:cs="楷体"/>
                <w:sz w:val="21"/>
                <w:szCs w:val="21"/>
              </w:rPr>
              <w:t>按单次计算</w:t>
            </w:r>
          </w:p>
        </w:tc>
      </w:tr>
      <w:tr w14:paraId="3AC9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4150F218">
            <w:pPr>
              <w:spacing w:line="400" w:lineRule="exact"/>
              <w:ind w:firstLine="0" w:firstLineChars="0"/>
              <w:jc w:val="center"/>
              <w:rPr>
                <w:rFonts w:ascii="宋体" w:hAnsi="宋体" w:cs="楷体"/>
                <w:sz w:val="21"/>
                <w:szCs w:val="21"/>
              </w:rPr>
            </w:pPr>
            <w:r>
              <w:rPr>
                <w:rFonts w:hint="eastAsia" w:ascii="宋体" w:hAnsi="宋体" w:cs="楷体"/>
                <w:sz w:val="21"/>
                <w:szCs w:val="21"/>
              </w:rPr>
              <w:t>3</w:t>
            </w:r>
          </w:p>
        </w:tc>
        <w:tc>
          <w:tcPr>
            <w:tcW w:w="710" w:type="pct"/>
            <w:vAlign w:val="center"/>
          </w:tcPr>
          <w:p w14:paraId="1D1F8E6E">
            <w:pPr>
              <w:spacing w:line="400" w:lineRule="exact"/>
              <w:ind w:firstLine="0" w:firstLineChars="0"/>
              <w:jc w:val="center"/>
              <w:rPr>
                <w:rFonts w:ascii="宋体" w:hAnsi="宋体" w:cs="楷体"/>
                <w:sz w:val="21"/>
                <w:szCs w:val="21"/>
              </w:rPr>
            </w:pPr>
            <w:r>
              <w:rPr>
                <w:rFonts w:hint="eastAsia" w:ascii="宋体" w:hAnsi="宋体" w:cs="楷体"/>
                <w:sz w:val="21"/>
                <w:szCs w:val="21"/>
              </w:rPr>
              <w:t>三级</w:t>
            </w:r>
          </w:p>
        </w:tc>
        <w:tc>
          <w:tcPr>
            <w:tcW w:w="1935" w:type="pct"/>
            <w:vAlign w:val="center"/>
          </w:tcPr>
          <w:p w14:paraId="5018B0E5">
            <w:pPr>
              <w:spacing w:line="400" w:lineRule="exact"/>
              <w:ind w:firstLine="0" w:firstLineChars="0"/>
              <w:jc w:val="center"/>
              <w:rPr>
                <w:rFonts w:ascii="宋体" w:hAnsi="宋体" w:cs="楷体"/>
                <w:sz w:val="21"/>
                <w:szCs w:val="21"/>
              </w:rPr>
            </w:pPr>
            <w:r>
              <w:rPr>
                <w:rFonts w:hint="eastAsia" w:ascii="宋体" w:hAnsi="宋体" w:cs="楷体"/>
                <w:sz w:val="21"/>
                <w:szCs w:val="21"/>
              </w:rPr>
              <w:t>系统非核心功能异常，导致部分用户或非紧急业务如报表生成延迟、页面显示受影响。</w:t>
            </w:r>
          </w:p>
        </w:tc>
        <w:tc>
          <w:tcPr>
            <w:tcW w:w="1101" w:type="pct"/>
            <w:vAlign w:val="center"/>
          </w:tcPr>
          <w:p w14:paraId="02940FF9">
            <w:pPr>
              <w:spacing w:line="400" w:lineRule="exact"/>
              <w:ind w:firstLine="0" w:firstLineChars="0"/>
              <w:jc w:val="center"/>
              <w:rPr>
                <w:rFonts w:ascii="宋体" w:hAnsi="宋体" w:cs="楷体"/>
                <w:sz w:val="21"/>
                <w:szCs w:val="21"/>
              </w:rPr>
            </w:pPr>
            <w:r>
              <w:rPr>
                <w:rFonts w:hint="eastAsia" w:ascii="宋体" w:hAnsi="宋体" w:cs="楷体"/>
                <w:sz w:val="21"/>
                <w:szCs w:val="21"/>
              </w:rPr>
              <w:t>超过8小时后，每增加8小时扣款1000元</w:t>
            </w:r>
          </w:p>
        </w:tc>
        <w:tc>
          <w:tcPr>
            <w:tcW w:w="798" w:type="pct"/>
            <w:shd w:val="clear" w:color="auto" w:fill="auto"/>
            <w:vAlign w:val="center"/>
          </w:tcPr>
          <w:p w14:paraId="1A655B7F">
            <w:pPr>
              <w:spacing w:line="400" w:lineRule="exact"/>
              <w:ind w:firstLine="0" w:firstLineChars="0"/>
              <w:jc w:val="center"/>
              <w:rPr>
                <w:rFonts w:ascii="宋体" w:hAnsi="宋体" w:cs="楷体"/>
                <w:sz w:val="21"/>
                <w:szCs w:val="21"/>
              </w:rPr>
            </w:pPr>
            <w:r>
              <w:rPr>
                <w:rFonts w:hint="eastAsia" w:ascii="宋体" w:hAnsi="宋体" w:cs="楷体"/>
                <w:sz w:val="21"/>
                <w:szCs w:val="21"/>
              </w:rPr>
              <w:t>按单次计算</w:t>
            </w:r>
          </w:p>
        </w:tc>
      </w:tr>
      <w:tr w14:paraId="2F22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218E36EC">
            <w:pPr>
              <w:spacing w:line="400" w:lineRule="exact"/>
              <w:ind w:firstLine="0" w:firstLineChars="0"/>
              <w:jc w:val="center"/>
              <w:rPr>
                <w:rFonts w:ascii="宋体" w:hAnsi="宋体" w:cs="楷体"/>
                <w:sz w:val="21"/>
                <w:szCs w:val="21"/>
              </w:rPr>
            </w:pPr>
            <w:r>
              <w:rPr>
                <w:rFonts w:hint="eastAsia" w:ascii="宋体" w:hAnsi="宋体" w:cs="楷体"/>
                <w:sz w:val="21"/>
                <w:szCs w:val="21"/>
              </w:rPr>
              <w:t>4</w:t>
            </w:r>
          </w:p>
        </w:tc>
        <w:tc>
          <w:tcPr>
            <w:tcW w:w="710" w:type="pct"/>
            <w:vAlign w:val="center"/>
          </w:tcPr>
          <w:p w14:paraId="031C4D94">
            <w:pPr>
              <w:spacing w:line="400" w:lineRule="exact"/>
              <w:ind w:firstLine="0" w:firstLineChars="0"/>
              <w:jc w:val="center"/>
              <w:rPr>
                <w:rFonts w:ascii="宋体" w:hAnsi="宋体" w:cs="楷体"/>
                <w:sz w:val="21"/>
                <w:szCs w:val="21"/>
              </w:rPr>
            </w:pPr>
            <w:r>
              <w:rPr>
                <w:rFonts w:hint="eastAsia" w:ascii="宋体" w:hAnsi="宋体" w:cs="楷体"/>
                <w:sz w:val="21"/>
                <w:szCs w:val="21"/>
              </w:rPr>
              <w:t>四级</w:t>
            </w:r>
          </w:p>
        </w:tc>
        <w:tc>
          <w:tcPr>
            <w:tcW w:w="1935" w:type="pct"/>
            <w:vAlign w:val="center"/>
          </w:tcPr>
          <w:p w14:paraId="4FB67B0A">
            <w:pPr>
              <w:spacing w:line="400" w:lineRule="exact"/>
              <w:ind w:firstLine="0" w:firstLineChars="0"/>
              <w:jc w:val="center"/>
              <w:rPr>
                <w:rFonts w:ascii="宋体" w:hAnsi="宋体" w:cs="楷体"/>
                <w:sz w:val="21"/>
                <w:szCs w:val="21"/>
              </w:rPr>
            </w:pPr>
            <w:r>
              <w:rPr>
                <w:rFonts w:hint="eastAsia" w:ascii="宋体" w:hAnsi="宋体" w:cs="楷体"/>
                <w:sz w:val="21"/>
                <w:szCs w:val="21"/>
              </w:rPr>
              <w:t>轻微功能异常，不影响核心业务，用户体验受损如页面排版错乱，非关键按钮失效，日常工作不受影响。</w:t>
            </w:r>
          </w:p>
        </w:tc>
        <w:tc>
          <w:tcPr>
            <w:tcW w:w="1101" w:type="pct"/>
            <w:vAlign w:val="center"/>
          </w:tcPr>
          <w:p w14:paraId="2382BB7F">
            <w:pPr>
              <w:spacing w:line="400" w:lineRule="exact"/>
              <w:ind w:firstLine="0" w:firstLineChars="0"/>
              <w:jc w:val="center"/>
              <w:rPr>
                <w:rFonts w:ascii="宋体" w:hAnsi="宋体" w:cs="楷体"/>
                <w:sz w:val="21"/>
                <w:szCs w:val="21"/>
              </w:rPr>
            </w:pPr>
            <w:r>
              <w:rPr>
                <w:rFonts w:hint="eastAsia" w:ascii="宋体" w:hAnsi="宋体" w:cs="楷体"/>
                <w:sz w:val="21"/>
                <w:szCs w:val="21"/>
              </w:rPr>
              <w:t>超过24小时后，每增加24小时扣款1000元</w:t>
            </w:r>
          </w:p>
        </w:tc>
        <w:tc>
          <w:tcPr>
            <w:tcW w:w="798" w:type="pct"/>
            <w:shd w:val="clear" w:color="auto" w:fill="auto"/>
            <w:vAlign w:val="center"/>
          </w:tcPr>
          <w:p w14:paraId="0539A2C9">
            <w:pPr>
              <w:spacing w:line="400" w:lineRule="exact"/>
              <w:ind w:firstLine="0" w:firstLineChars="0"/>
              <w:jc w:val="center"/>
              <w:rPr>
                <w:rFonts w:ascii="宋体" w:hAnsi="宋体" w:cs="楷体"/>
                <w:sz w:val="21"/>
                <w:szCs w:val="21"/>
              </w:rPr>
            </w:pPr>
            <w:r>
              <w:rPr>
                <w:rFonts w:hint="eastAsia" w:ascii="宋体" w:hAnsi="宋体" w:cs="楷体"/>
                <w:sz w:val="21"/>
                <w:szCs w:val="21"/>
              </w:rPr>
              <w:t>按单次计算</w:t>
            </w:r>
          </w:p>
        </w:tc>
      </w:tr>
    </w:tbl>
    <w:p w14:paraId="5CDEE72F">
      <w:pPr>
        <w:spacing w:line="400" w:lineRule="exact"/>
        <w:ind w:firstLine="482"/>
        <w:rPr>
          <w:rFonts w:ascii="宋体" w:hAnsi="宋体" w:cs="楷体"/>
          <w:b/>
          <w:bCs/>
        </w:rPr>
      </w:pPr>
      <w:r>
        <w:rPr>
          <w:rFonts w:hint="eastAsia" w:ascii="宋体" w:hAnsi="宋体" w:cs="楷体"/>
          <w:b/>
          <w:bCs/>
        </w:rPr>
        <w:t>（三）培训要求</w:t>
      </w:r>
    </w:p>
    <w:p w14:paraId="4A4704FA">
      <w:pPr>
        <w:tabs>
          <w:tab w:val="left" w:pos="0"/>
        </w:tabs>
        <w:spacing w:line="400" w:lineRule="exact"/>
        <w:ind w:firstLine="480"/>
        <w:rPr>
          <w:rFonts w:hint="eastAsia" w:ascii="宋体" w:hAnsi="宋体" w:eastAsia="宋体" w:cs="楷体"/>
          <w:lang w:eastAsia="zh-CN"/>
        </w:rPr>
      </w:pPr>
      <w:bookmarkStart w:id="4" w:name="_Toc367024399"/>
      <w:bookmarkEnd w:id="4"/>
      <w:bookmarkStart w:id="5" w:name="_Toc396906086"/>
      <w:bookmarkEnd w:id="5"/>
      <w:bookmarkStart w:id="6" w:name="_Toc367382036"/>
      <w:bookmarkEnd w:id="6"/>
      <w:bookmarkStart w:id="7" w:name="_Toc372662399"/>
      <w:bookmarkEnd w:id="7"/>
      <w:bookmarkStart w:id="8" w:name="_Toc396723973"/>
      <w:bookmarkEnd w:id="8"/>
      <w:bookmarkStart w:id="9" w:name="_Toc367463878"/>
      <w:bookmarkEnd w:id="9"/>
      <w:r>
        <w:rPr>
          <w:rFonts w:hint="eastAsia" w:ascii="宋体" w:hAnsi="宋体" w:cs="楷体"/>
        </w:rPr>
        <w:t>（1）培训对象及内容主要包括：</w:t>
      </w:r>
    </w:p>
    <w:p w14:paraId="24ED2E20">
      <w:pPr>
        <w:tabs>
          <w:tab w:val="left" w:pos="0"/>
        </w:tabs>
        <w:spacing w:line="400" w:lineRule="exact"/>
        <w:ind w:firstLine="480"/>
        <w:rPr>
          <w:rFonts w:ascii="宋体" w:hAnsi="宋体" w:cs="楷体"/>
        </w:rPr>
      </w:pPr>
      <w:r>
        <w:rPr>
          <w:rFonts w:hint="eastAsia" w:ascii="宋体" w:hAnsi="宋体" w:cs="楷体"/>
        </w:rPr>
        <w:t>①业务人员培训</w:t>
      </w:r>
    </w:p>
    <w:p w14:paraId="24EC6F02">
      <w:pPr>
        <w:tabs>
          <w:tab w:val="left" w:pos="0"/>
        </w:tabs>
        <w:spacing w:line="400" w:lineRule="exact"/>
        <w:ind w:firstLine="480"/>
        <w:rPr>
          <w:rFonts w:ascii="宋体" w:hAnsi="宋体" w:cs="楷体"/>
        </w:rPr>
      </w:pPr>
      <w:r>
        <w:rPr>
          <w:rFonts w:hint="eastAsia" w:ascii="宋体" w:hAnsi="宋体" w:cs="楷体"/>
        </w:rPr>
        <w:t>包括业务流程、应用系统操作、硬件使用操作、基本问题处理等方面。</w:t>
      </w:r>
    </w:p>
    <w:p w14:paraId="444E59FC">
      <w:pPr>
        <w:tabs>
          <w:tab w:val="left" w:pos="0"/>
        </w:tabs>
        <w:spacing w:line="400" w:lineRule="exact"/>
        <w:ind w:firstLine="480"/>
        <w:rPr>
          <w:rFonts w:ascii="宋体" w:hAnsi="宋体" w:cs="楷体"/>
        </w:rPr>
      </w:pPr>
      <w:r>
        <w:rPr>
          <w:rFonts w:hint="eastAsia" w:ascii="宋体" w:hAnsi="宋体" w:cs="楷体"/>
        </w:rPr>
        <w:t>②技术人员培训</w:t>
      </w:r>
    </w:p>
    <w:p w14:paraId="25FAA326">
      <w:pPr>
        <w:tabs>
          <w:tab w:val="left" w:pos="0"/>
        </w:tabs>
        <w:spacing w:line="400" w:lineRule="exact"/>
        <w:ind w:firstLine="480"/>
        <w:rPr>
          <w:rFonts w:ascii="宋体" w:hAnsi="宋体" w:cs="楷体"/>
        </w:rPr>
      </w:pPr>
      <w:r>
        <w:rPr>
          <w:rFonts w:hint="eastAsia" w:ascii="宋体" w:hAnsi="宋体" w:cs="楷体"/>
        </w:rPr>
        <w:t>系统综合培训，对本系统</w:t>
      </w:r>
      <w:r>
        <w:rPr>
          <w:rFonts w:hint="eastAsia" w:ascii="宋体" w:hAnsi="宋体" w:cs="楷体"/>
          <w:lang w:eastAsia="zh-CN"/>
        </w:rPr>
        <w:t>涉及</w:t>
      </w:r>
      <w:r>
        <w:rPr>
          <w:rFonts w:hint="eastAsia" w:ascii="宋体" w:hAnsi="宋体" w:cs="楷体"/>
        </w:rPr>
        <w:t>的软硬件能够正确</w:t>
      </w:r>
      <w:r>
        <w:rPr>
          <w:rFonts w:hint="eastAsia" w:ascii="宋体" w:hAnsi="宋体" w:cs="楷体"/>
          <w:lang w:eastAsia="zh-CN"/>
        </w:rPr>
        <w:t>地</w:t>
      </w:r>
      <w:r>
        <w:rPr>
          <w:rFonts w:hint="eastAsia" w:ascii="宋体" w:hAnsi="宋体" w:cs="楷体"/>
        </w:rPr>
        <w:t>使用、维护、管理、排错等，为系统的安全运行打下良好基础。</w:t>
      </w:r>
    </w:p>
    <w:p w14:paraId="2ABDF15B">
      <w:pPr>
        <w:tabs>
          <w:tab w:val="left" w:pos="0"/>
        </w:tabs>
        <w:spacing w:line="400" w:lineRule="exact"/>
        <w:ind w:firstLine="480"/>
        <w:rPr>
          <w:rFonts w:ascii="宋体" w:hAnsi="宋体" w:cs="楷体"/>
        </w:rPr>
      </w:pPr>
      <w:r>
        <w:rPr>
          <w:rFonts w:hint="eastAsia" w:ascii="宋体" w:hAnsi="宋体" w:cs="楷体"/>
        </w:rPr>
        <w:t>（2）培训次数</w:t>
      </w:r>
    </w:p>
    <w:p w14:paraId="4BC1ED77">
      <w:pPr>
        <w:tabs>
          <w:tab w:val="left" w:pos="0"/>
        </w:tabs>
        <w:spacing w:line="400" w:lineRule="exact"/>
        <w:ind w:firstLine="480"/>
        <w:rPr>
          <w:rFonts w:ascii="宋体" w:hAnsi="宋体" w:cs="楷体"/>
        </w:rPr>
      </w:pPr>
      <w:r>
        <w:rPr>
          <w:rFonts w:hint="eastAsia" w:ascii="宋体" w:hAnsi="宋体" w:cs="楷体"/>
        </w:rPr>
        <w:t>中标方培训次数及培训时间根据项目进度和用户实际要求进行确定和调整。</w:t>
      </w:r>
    </w:p>
    <w:p w14:paraId="7D7E60F7">
      <w:pPr>
        <w:tabs>
          <w:tab w:val="left" w:pos="0"/>
        </w:tabs>
        <w:spacing w:line="400" w:lineRule="exact"/>
        <w:ind w:firstLine="480"/>
        <w:rPr>
          <w:rFonts w:ascii="宋体" w:hAnsi="宋体" w:cs="楷体"/>
        </w:rPr>
      </w:pPr>
      <w:r>
        <w:rPr>
          <w:rFonts w:hint="eastAsia" w:ascii="宋体" w:hAnsi="宋体" w:cs="楷体"/>
        </w:rPr>
        <w:t>（3）培训人数</w:t>
      </w:r>
    </w:p>
    <w:p w14:paraId="667878DE">
      <w:pPr>
        <w:tabs>
          <w:tab w:val="left" w:pos="0"/>
        </w:tabs>
        <w:spacing w:line="400" w:lineRule="exact"/>
        <w:ind w:firstLine="480"/>
        <w:rPr>
          <w:rFonts w:ascii="宋体" w:hAnsi="宋体" w:cs="楷体"/>
        </w:rPr>
      </w:pPr>
      <w:r>
        <w:rPr>
          <w:rFonts w:hint="eastAsia" w:ascii="宋体" w:hAnsi="宋体" w:cs="楷体"/>
        </w:rPr>
        <w:t>中标方为用户免费提供软件系统操作、使用、维护培训，业务培训和技术培训，具体培训不设最高人数限制，通过培训旨在使用户能够全面掌握和熟练操作该系统。</w:t>
      </w:r>
    </w:p>
    <w:p w14:paraId="6AFB4E4A">
      <w:pPr>
        <w:tabs>
          <w:tab w:val="left" w:pos="0"/>
        </w:tabs>
        <w:spacing w:line="400" w:lineRule="exact"/>
        <w:ind w:firstLine="480"/>
        <w:rPr>
          <w:rFonts w:ascii="宋体" w:hAnsi="宋体" w:cs="楷体"/>
        </w:rPr>
      </w:pPr>
      <w:r>
        <w:rPr>
          <w:rFonts w:hint="eastAsia" w:ascii="宋体" w:hAnsi="宋体" w:cs="楷体"/>
        </w:rPr>
        <w:t>（4）培训方式</w:t>
      </w:r>
    </w:p>
    <w:p w14:paraId="10970FD4">
      <w:pPr>
        <w:tabs>
          <w:tab w:val="left" w:pos="0"/>
        </w:tabs>
        <w:spacing w:line="400" w:lineRule="exact"/>
        <w:ind w:firstLine="480"/>
        <w:rPr>
          <w:rFonts w:ascii="宋体" w:hAnsi="宋体" w:cs="楷体"/>
        </w:rPr>
      </w:pPr>
      <w:r>
        <w:rPr>
          <w:rFonts w:hint="eastAsia" w:ascii="宋体" w:hAnsi="宋体" w:cs="楷体"/>
        </w:rPr>
        <w:t>中标方为用户提供现场集中培训方式，承担师资、培训材料、培训器材等相关培训费用。</w:t>
      </w:r>
    </w:p>
    <w:p w14:paraId="4A3E3E51">
      <w:pPr>
        <w:tabs>
          <w:tab w:val="left" w:pos="0"/>
        </w:tabs>
        <w:spacing w:line="400" w:lineRule="exact"/>
        <w:ind w:firstLine="480"/>
        <w:rPr>
          <w:rFonts w:ascii="宋体" w:hAnsi="宋体" w:cs="楷体"/>
        </w:rPr>
      </w:pPr>
      <w:r>
        <w:rPr>
          <w:rFonts w:hint="eastAsia" w:ascii="宋体" w:hAnsi="宋体" w:cs="楷体"/>
        </w:rPr>
        <w:t>面向不能参加现场培训的部分系统用户，提供每周5×8小时电话技术支持服务，即用户针对系统操作、使用、维修、修复等技术方面的咨询。</w:t>
      </w:r>
    </w:p>
    <w:p w14:paraId="5D9E3E9B">
      <w:pPr>
        <w:tabs>
          <w:tab w:val="left" w:pos="0"/>
        </w:tabs>
        <w:spacing w:line="400" w:lineRule="exact"/>
        <w:ind w:firstLine="480"/>
        <w:rPr>
          <w:rFonts w:ascii="宋体" w:hAnsi="宋体" w:cs="楷体"/>
        </w:rPr>
      </w:pPr>
      <w:r>
        <w:rPr>
          <w:rFonts w:hint="eastAsia" w:ascii="宋体" w:hAnsi="宋体" w:cs="楷体"/>
        </w:rPr>
        <w:t>（5）培训教材</w:t>
      </w:r>
    </w:p>
    <w:p w14:paraId="7A925EEB">
      <w:pPr>
        <w:tabs>
          <w:tab w:val="left" w:pos="0"/>
        </w:tabs>
        <w:spacing w:line="400" w:lineRule="exact"/>
        <w:ind w:firstLine="480"/>
      </w:pPr>
      <w:r>
        <w:rPr>
          <w:rFonts w:hint="eastAsia" w:ascii="宋体" w:hAnsi="宋体" w:cs="楷体"/>
        </w:rPr>
        <w:t>为了保证培训工作效率，便于用户快速吸收、消化培训内容，针对各级用户和培训内容，编写培训视频及培训教材。</w:t>
      </w:r>
    </w:p>
    <w:p w14:paraId="501C86CD">
      <w:pPr>
        <w:pStyle w:val="3"/>
        <w:numPr>
          <w:ilvl w:val="0"/>
          <w:numId w:val="0"/>
        </w:numPr>
        <w:spacing w:line="400" w:lineRule="exact"/>
        <w:rPr>
          <w:rFonts w:ascii="黑体" w:hAnsi="黑体" w:eastAsia="黑体" w:cs="黑体"/>
          <w:b w:val="0"/>
          <w:sz w:val="28"/>
          <w:szCs w:val="52"/>
        </w:rPr>
      </w:pPr>
      <w:r>
        <w:rPr>
          <w:rFonts w:hint="eastAsia" w:ascii="黑体" w:hAnsi="黑体" w:eastAsia="黑体" w:cs="黑体"/>
          <w:b w:val="0"/>
          <w:sz w:val="28"/>
          <w:szCs w:val="52"/>
        </w:rPr>
        <w:t>六、验收标准与程序</w:t>
      </w:r>
    </w:p>
    <w:p w14:paraId="5CBFB58B">
      <w:pPr>
        <w:tabs>
          <w:tab w:val="left" w:pos="0"/>
        </w:tabs>
        <w:spacing w:line="400" w:lineRule="exact"/>
        <w:ind w:firstLine="480"/>
        <w:rPr>
          <w:rFonts w:hint="eastAsia" w:ascii="宋体" w:hAnsi="宋体" w:cs="楷体"/>
        </w:rPr>
      </w:pPr>
      <w:r>
        <w:rPr>
          <w:rFonts w:hint="eastAsia" w:ascii="宋体" w:hAnsi="宋体" w:cs="楷体"/>
        </w:rPr>
        <w:t>项目建设过程中及建设完成后，必须按照相关标准及规范进行验收，验收标准参照《江苏省政府采购履约验收管理办法》（苏财规〔2024〕7号）组织验收。遵循初验、试运行、终验环节。项目建成后可进行系统初验，初验通过后，进入试运行期，试运行期</w:t>
      </w:r>
      <w:r>
        <w:rPr>
          <w:rFonts w:hint="eastAsia" w:ascii="宋体" w:hAnsi="宋体" w:cs="楷体"/>
          <w:lang w:val="en-US" w:eastAsia="zh-CN"/>
        </w:rPr>
        <w:t>不低于</w:t>
      </w:r>
      <w:r>
        <w:rPr>
          <w:rFonts w:hint="eastAsia" w:ascii="宋体" w:hAnsi="宋体" w:cs="楷体"/>
        </w:rPr>
        <w:t>3个月。期间未出现严重影响系统和业务应用的故障，须经具有软件测评资质的第三方机构检测通过即可终验。本项目第三方测评机构由采购方另行招标采购，费用不包含在本次招标中。试运行期间若发生与技术要求不符或与初验记录不一致的情况时，中标人应负责解决问题，否则不予终验。属于中标人工作严重失职造成的较大损失的，追究其单位的责任和损失。项目初、终验须同时验收项目文档，提交验收的主要文件及内容符合相关文档规范。文档不合格的，不得通过项目初、终验。</w:t>
      </w:r>
    </w:p>
    <w:p w14:paraId="1F32B6D3">
      <w:pPr>
        <w:spacing w:line="400" w:lineRule="exact"/>
        <w:ind w:firstLine="480"/>
        <w:rPr>
          <w:rFonts w:ascii="宋体" w:hAnsi="宋体" w:eastAsiaTheme="minorEastAsia" w:cstheme="minorBidi"/>
          <w:szCs w:val="21"/>
        </w:rPr>
      </w:pPr>
      <w:r>
        <w:rPr>
          <w:rFonts w:hint="eastAsia" w:ascii="宋体" w:hAnsi="宋体" w:eastAsiaTheme="minorEastAsia" w:cstheme="minorBidi"/>
          <w:szCs w:val="21"/>
        </w:rPr>
        <w:t>初验前须提交的成果包括：</w:t>
      </w:r>
    </w:p>
    <w:p w14:paraId="09CC4DBA">
      <w:pPr>
        <w:spacing w:line="400" w:lineRule="exact"/>
        <w:ind w:firstLine="480"/>
        <w:rPr>
          <w:rFonts w:ascii="宋体" w:hAnsi="宋体" w:eastAsiaTheme="minorEastAsia" w:cstheme="minorBidi"/>
          <w:szCs w:val="21"/>
        </w:rPr>
      </w:pPr>
      <w:r>
        <w:rPr>
          <w:rFonts w:hint="eastAsia" w:ascii="宋体" w:hAnsi="宋体" w:eastAsiaTheme="minorEastAsia" w:cstheme="minorBidi"/>
          <w:szCs w:val="21"/>
        </w:rPr>
        <w:t>（1）项目实施过程文档全套；</w:t>
      </w:r>
    </w:p>
    <w:p w14:paraId="403F377F">
      <w:pPr>
        <w:spacing w:line="400" w:lineRule="exact"/>
        <w:ind w:firstLine="480"/>
        <w:rPr>
          <w:rFonts w:ascii="宋体" w:hAnsi="宋体" w:eastAsiaTheme="minorEastAsia" w:cstheme="minorBidi"/>
          <w:szCs w:val="21"/>
        </w:rPr>
      </w:pPr>
      <w:r>
        <w:rPr>
          <w:rFonts w:hint="eastAsia" w:ascii="宋体" w:hAnsi="宋体" w:eastAsiaTheme="minorEastAsia" w:cstheme="minorBidi"/>
          <w:szCs w:val="21"/>
        </w:rPr>
        <w:t>（2）项目定制开发软件系统源代码电子文件（不加密，可编辑不限使用时间）1份；</w:t>
      </w:r>
    </w:p>
    <w:p w14:paraId="6B6553E9">
      <w:pPr>
        <w:pStyle w:val="17"/>
        <w:spacing w:line="400" w:lineRule="exact"/>
        <w:ind w:firstLine="480"/>
        <w:rPr>
          <w:rFonts w:ascii="宋体" w:hAnsi="宋体"/>
        </w:rPr>
      </w:pPr>
      <w:r>
        <w:rPr>
          <w:rFonts w:hint="eastAsia" w:ascii="宋体" w:hAnsi="宋体"/>
        </w:rPr>
        <w:t>（3）刻录上述文档和系统软件的光盘3份。</w:t>
      </w:r>
    </w:p>
    <w:p w14:paraId="743613B8">
      <w:pPr>
        <w:spacing w:line="400" w:lineRule="exact"/>
        <w:ind w:firstLine="0" w:firstLineChars="0"/>
        <w:rPr>
          <w:rFonts w:ascii="宋体" w:hAnsi="宋体" w:cs="楷体"/>
        </w:rPr>
      </w:pPr>
    </w:p>
    <w:p w14:paraId="7B573A2D">
      <w:pPr>
        <w:pStyle w:val="3"/>
        <w:numPr>
          <w:ilvl w:val="0"/>
          <w:numId w:val="0"/>
        </w:numPr>
        <w:spacing w:line="400" w:lineRule="exact"/>
        <w:rPr>
          <w:rFonts w:ascii="黑体" w:hAnsi="黑体" w:eastAsia="黑体" w:cs="黑体"/>
          <w:b w:val="0"/>
          <w:sz w:val="28"/>
          <w:szCs w:val="52"/>
        </w:rPr>
      </w:pPr>
      <w:r>
        <w:rPr>
          <w:rFonts w:hint="eastAsia" w:ascii="黑体" w:hAnsi="黑体" w:eastAsia="黑体" w:cs="黑体"/>
          <w:b w:val="0"/>
          <w:sz w:val="28"/>
          <w:szCs w:val="52"/>
        </w:rPr>
        <w:t>七、付款方式</w:t>
      </w:r>
    </w:p>
    <w:p w14:paraId="0DD8A608">
      <w:pPr>
        <w:spacing w:line="400" w:lineRule="exact"/>
        <w:ind w:firstLine="480"/>
      </w:pPr>
      <w:r>
        <w:rPr>
          <w:rFonts w:hint="eastAsia" w:ascii="宋体" w:hAnsi="宋体" w:cs="楷体"/>
          <w:lang w:val="en-US" w:eastAsia="zh-CN"/>
        </w:rPr>
        <w:t>1、</w:t>
      </w:r>
      <w:r>
        <w:rPr>
          <w:rFonts w:hint="eastAsia"/>
        </w:rPr>
        <w:t>合同签订生效后，支付至合同金额的</w:t>
      </w:r>
      <w:r>
        <w:rPr>
          <w:rFonts w:hint="eastAsia" w:ascii="宋体" w:hAnsi="宋体" w:eastAsia="宋体" w:cs="宋体"/>
        </w:rPr>
        <w:t>10%</w:t>
      </w:r>
      <w:r>
        <w:rPr>
          <w:rFonts w:hint="eastAsia"/>
        </w:rPr>
        <w:t>；</w:t>
      </w:r>
    </w:p>
    <w:p w14:paraId="46788A14">
      <w:pPr>
        <w:spacing w:line="400" w:lineRule="exact"/>
        <w:ind w:firstLine="480"/>
        <w:rPr>
          <w:rFonts w:hint="eastAsia" w:ascii="宋体" w:hAnsi="宋体" w:cs="楷体"/>
        </w:rPr>
      </w:pPr>
      <w:r>
        <w:rPr>
          <w:rFonts w:hint="eastAsia" w:ascii="宋体" w:hAnsi="宋体" w:cs="楷体"/>
          <w:lang w:val="en-US" w:eastAsia="zh-CN"/>
        </w:rPr>
        <w:t>2、</w:t>
      </w:r>
      <w:r>
        <w:rPr>
          <w:rFonts w:hint="eastAsia" w:ascii="宋体" w:hAnsi="宋体" w:cs="楷体"/>
        </w:rPr>
        <w:t>本项目软件系统(定制化软件开发部分)完成建设任务并通过初验后</w:t>
      </w:r>
      <w:r>
        <w:rPr>
          <w:rFonts w:hint="eastAsia" w:ascii="宋体" w:hAnsi="宋体" w:cs="楷体"/>
          <w:lang w:eastAsia="zh-CN"/>
        </w:rPr>
        <w:t>，</w:t>
      </w:r>
      <w:r>
        <w:rPr>
          <w:rFonts w:hint="eastAsia" w:ascii="宋体" w:hAnsi="宋体" w:cs="楷体"/>
        </w:rPr>
        <w:t>支付至合同金额的40%;</w:t>
      </w:r>
    </w:p>
    <w:p w14:paraId="65758DD6">
      <w:pPr>
        <w:spacing w:line="400" w:lineRule="exact"/>
        <w:ind w:firstLine="480"/>
        <w:rPr>
          <w:rFonts w:hint="eastAsia" w:ascii="宋体" w:hAnsi="宋体" w:cs="楷体"/>
        </w:rPr>
      </w:pPr>
      <w:r>
        <w:rPr>
          <w:rFonts w:hint="eastAsia" w:ascii="宋体" w:hAnsi="宋体" w:cs="楷体"/>
          <w:lang w:val="en-US" w:eastAsia="zh-CN"/>
        </w:rPr>
        <w:t>3、</w:t>
      </w:r>
      <w:r>
        <w:rPr>
          <w:rFonts w:hint="eastAsia" w:ascii="宋体" w:hAnsi="宋体" w:cs="楷体"/>
        </w:rPr>
        <w:t>本项目软件系统(定制化软件开发部分)试运行期满并通过</w:t>
      </w:r>
      <w:r>
        <w:rPr>
          <w:rFonts w:hint="eastAsia" w:ascii="宋体" w:hAnsi="宋体" w:cs="楷体"/>
          <w:lang w:val="en-US" w:eastAsia="zh-CN"/>
        </w:rPr>
        <w:t>阶段性</w:t>
      </w:r>
      <w:r>
        <w:rPr>
          <w:rFonts w:hint="eastAsia" w:ascii="宋体" w:hAnsi="宋体" w:cs="楷体"/>
        </w:rPr>
        <w:t>终验后，支付至合同金额的70%;</w:t>
      </w:r>
    </w:p>
    <w:p w14:paraId="324CCD8F">
      <w:pPr>
        <w:spacing w:line="400" w:lineRule="exact"/>
        <w:ind w:firstLine="480"/>
        <w:rPr>
          <w:rFonts w:hint="eastAsia" w:ascii="宋体" w:hAnsi="宋体" w:cs="楷体"/>
        </w:rPr>
      </w:pPr>
      <w:r>
        <w:rPr>
          <w:rFonts w:hint="eastAsia" w:ascii="宋体" w:hAnsi="宋体" w:cs="楷体"/>
          <w:lang w:val="en-US" w:eastAsia="zh-CN"/>
        </w:rPr>
        <w:t>4、</w:t>
      </w:r>
      <w:r>
        <w:rPr>
          <w:rFonts w:hint="eastAsia" w:ascii="宋体" w:hAnsi="宋体" w:cs="楷体"/>
        </w:rPr>
        <w:t>数据采购</w:t>
      </w:r>
      <w:r>
        <w:rPr>
          <w:rFonts w:hint="eastAsia" w:ascii="宋体" w:hAnsi="宋体" w:cs="楷体"/>
          <w:lang w:eastAsia="zh-CN"/>
        </w:rPr>
        <w:t>：</w:t>
      </w:r>
      <w:r>
        <w:rPr>
          <w:rFonts w:hint="eastAsia" w:ascii="宋体" w:hAnsi="宋体" w:cs="楷体"/>
        </w:rPr>
        <w:t>自合同签订生效开始，完成一个年度的数据推送并通过验收后，支付合同金额的5%，累计支付至合同金额的75%;</w:t>
      </w:r>
    </w:p>
    <w:p w14:paraId="103B05D9">
      <w:pPr>
        <w:spacing w:line="400" w:lineRule="exact"/>
        <w:ind w:firstLine="480"/>
        <w:rPr>
          <w:rFonts w:hint="eastAsia" w:ascii="宋体" w:hAnsi="宋体" w:cs="楷体"/>
        </w:rPr>
      </w:pPr>
      <w:r>
        <w:rPr>
          <w:rFonts w:hint="eastAsia" w:ascii="宋体" w:hAnsi="宋体" w:cs="楷体"/>
          <w:lang w:val="en-US" w:eastAsia="zh-CN"/>
        </w:rPr>
        <w:t>5、</w:t>
      </w:r>
      <w:r>
        <w:rPr>
          <w:rFonts w:hint="eastAsia" w:ascii="宋体" w:hAnsi="宋体" w:cs="楷体"/>
        </w:rPr>
        <w:t>数据治理服务</w:t>
      </w:r>
      <w:r>
        <w:rPr>
          <w:rFonts w:hint="eastAsia" w:ascii="宋体" w:hAnsi="宋体" w:cs="楷体"/>
          <w:lang w:eastAsia="zh-CN"/>
        </w:rPr>
        <w:t>：</w:t>
      </w:r>
      <w:r>
        <w:rPr>
          <w:rFonts w:hint="eastAsia" w:ascii="宋体" w:hAnsi="宋体" w:cs="楷体"/>
        </w:rPr>
        <w:t>自合同签订生效开始，每完成一个年度</w:t>
      </w:r>
      <w:bookmarkStart w:id="10" w:name="_GoBack"/>
      <w:bookmarkEnd w:id="10"/>
      <w:r>
        <w:rPr>
          <w:rFonts w:hint="eastAsia" w:ascii="宋体" w:hAnsi="宋体" w:cs="楷体"/>
        </w:rPr>
        <w:t>的治理服务并通过验收后，支付合同金额的5%，完成三年服务期并通过验收后，累计支付至合同金额的90%;</w:t>
      </w:r>
    </w:p>
    <w:p w14:paraId="76755B45">
      <w:pPr>
        <w:spacing w:line="400" w:lineRule="exact"/>
        <w:ind w:firstLine="480"/>
        <w:rPr>
          <w:rFonts w:hint="eastAsia" w:ascii="宋体" w:hAnsi="宋体" w:cs="楷体"/>
        </w:rPr>
      </w:pPr>
      <w:r>
        <w:rPr>
          <w:rFonts w:hint="eastAsia" w:ascii="宋体" w:hAnsi="宋体" w:cs="楷体"/>
          <w:lang w:val="en-US" w:eastAsia="zh-CN"/>
        </w:rPr>
        <w:t>6、本</w:t>
      </w:r>
      <w:r>
        <w:rPr>
          <w:rFonts w:hint="eastAsia" w:ascii="宋体" w:hAnsi="宋体" w:cs="楷体"/>
        </w:rPr>
        <w:t>项目整体通过竣工验收且运维期满后，支付合同剩余款项。</w:t>
      </w:r>
    </w:p>
    <w:p w14:paraId="1D029C92">
      <w:pPr>
        <w:pStyle w:val="3"/>
        <w:numPr>
          <w:ilvl w:val="0"/>
          <w:numId w:val="0"/>
        </w:numPr>
        <w:spacing w:line="400" w:lineRule="exact"/>
        <w:rPr>
          <w:rFonts w:hint="eastAsia" w:ascii="黑体" w:hAnsi="黑体" w:eastAsia="黑体" w:cs="黑体"/>
          <w:b w:val="0"/>
          <w:sz w:val="28"/>
          <w:szCs w:val="52"/>
        </w:rPr>
      </w:pPr>
    </w:p>
    <w:p w14:paraId="68C211FF">
      <w:pPr>
        <w:pStyle w:val="3"/>
        <w:numPr>
          <w:ilvl w:val="0"/>
          <w:numId w:val="0"/>
        </w:numPr>
        <w:spacing w:line="400" w:lineRule="exact"/>
        <w:rPr>
          <w:rFonts w:ascii="黑体" w:hAnsi="黑体" w:eastAsia="黑体" w:cs="黑体"/>
          <w:b w:val="0"/>
          <w:sz w:val="28"/>
          <w:szCs w:val="52"/>
        </w:rPr>
      </w:pPr>
      <w:r>
        <w:rPr>
          <w:rFonts w:hint="eastAsia" w:ascii="黑体" w:hAnsi="黑体" w:eastAsia="黑体" w:cs="黑体"/>
          <w:b w:val="0"/>
          <w:sz w:val="28"/>
          <w:szCs w:val="52"/>
        </w:rPr>
        <w:t>八、有关说明</w:t>
      </w:r>
    </w:p>
    <w:p w14:paraId="38AD3A44">
      <w:pPr>
        <w:spacing w:line="400" w:lineRule="exact"/>
        <w:ind w:firstLine="480"/>
        <w:rPr>
          <w:rFonts w:hint="eastAsia" w:ascii="宋体" w:hAnsi="宋体" w:cs="楷体"/>
        </w:rPr>
      </w:pPr>
      <w:r>
        <w:rPr>
          <w:rFonts w:hint="eastAsia" w:ascii="宋体" w:hAnsi="宋体" w:cs="楷体"/>
          <w:lang w:val="en-US" w:eastAsia="zh-CN"/>
        </w:rPr>
        <w:t>1、</w:t>
      </w:r>
      <w:r>
        <w:rPr>
          <w:rFonts w:hint="eastAsia" w:ascii="宋体" w:hAnsi="宋体" w:cs="楷体"/>
        </w:rPr>
        <w:t>本项目为一个包，投标人报价内容必须报全，不得漏项。</w:t>
      </w:r>
    </w:p>
    <w:p w14:paraId="2079DCA2">
      <w:pPr>
        <w:spacing w:line="400" w:lineRule="exact"/>
        <w:ind w:firstLine="480"/>
        <w:rPr>
          <w:rFonts w:hint="eastAsia" w:ascii="宋体" w:hAnsi="宋体" w:cs="楷体"/>
        </w:rPr>
      </w:pPr>
      <w:r>
        <w:rPr>
          <w:rFonts w:hint="eastAsia" w:ascii="宋体" w:hAnsi="宋体" w:cs="楷体"/>
          <w:lang w:val="en-US" w:eastAsia="zh-CN"/>
        </w:rPr>
        <w:t>2、</w:t>
      </w:r>
      <w:r>
        <w:rPr>
          <w:rFonts w:hint="eastAsia" w:ascii="宋体" w:hAnsi="宋体" w:cs="楷体"/>
          <w:lang w:eastAsia="zh-CN"/>
        </w:rPr>
        <w:t>投标人</w:t>
      </w:r>
      <w:r>
        <w:rPr>
          <w:rFonts w:hint="eastAsia" w:ascii="宋体" w:hAnsi="宋体" w:cs="楷体"/>
        </w:rPr>
        <w:t>须对本项目中的所有系统及服务进行报价，项目总价包括：全部软硬件产品、工作经费（软件开发费、调查费、处理费等）、成果验收费、售后服务费用、系统对接费用、税金，以及食宿费用及差旅费等。采购文件未列明，而</w:t>
      </w:r>
      <w:r>
        <w:rPr>
          <w:rFonts w:hint="eastAsia" w:ascii="宋体" w:hAnsi="宋体" w:cs="楷体"/>
          <w:lang w:eastAsia="zh-CN"/>
        </w:rPr>
        <w:t>投标人</w:t>
      </w:r>
      <w:r>
        <w:rPr>
          <w:rFonts w:hint="eastAsia" w:ascii="宋体" w:hAnsi="宋体" w:cs="楷体"/>
        </w:rPr>
        <w:t>认为其他</w:t>
      </w:r>
      <w:r>
        <w:rPr>
          <w:rFonts w:hint="eastAsia" w:ascii="宋体" w:hAnsi="宋体" w:cs="楷体"/>
          <w:lang w:eastAsia="zh-CN"/>
        </w:rPr>
        <w:t>必需的</w:t>
      </w:r>
      <w:r>
        <w:rPr>
          <w:rFonts w:hint="eastAsia" w:ascii="宋体" w:hAnsi="宋体" w:cs="楷体"/>
        </w:rPr>
        <w:t>费用</w:t>
      </w:r>
      <w:r>
        <w:rPr>
          <w:rFonts w:hint="eastAsia" w:ascii="宋体" w:hAnsi="宋体" w:cs="楷体"/>
          <w:lang w:val="en-US" w:eastAsia="zh-CN"/>
        </w:rPr>
        <w:t>须</w:t>
      </w:r>
      <w:r>
        <w:rPr>
          <w:rFonts w:hint="eastAsia" w:ascii="宋体" w:hAnsi="宋体" w:cs="楷体"/>
        </w:rPr>
        <w:t>列入报价。在合同实施时，采购人将不予支付中标单位没有填列的项目费用，并认为此项目的费用已包括在合同价格中。</w:t>
      </w:r>
    </w:p>
    <w:p w14:paraId="5ECE98FB">
      <w:pPr>
        <w:spacing w:line="400" w:lineRule="exact"/>
        <w:ind w:firstLine="480"/>
        <w:rPr>
          <w:rFonts w:hint="eastAsia" w:ascii="宋体" w:hAnsi="宋体" w:cs="楷体"/>
        </w:rPr>
      </w:pPr>
      <w:r>
        <w:rPr>
          <w:rFonts w:hint="eastAsia" w:ascii="宋体" w:hAnsi="宋体" w:cs="楷体"/>
          <w:lang w:val="en-US" w:eastAsia="zh-CN"/>
        </w:rPr>
        <w:t>3、</w:t>
      </w:r>
      <w:r>
        <w:rPr>
          <w:rFonts w:hint="eastAsia" w:ascii="宋体" w:hAnsi="宋体" w:cs="楷体"/>
        </w:rPr>
        <w:t>本项目中定制开发的软件著作权、软件开发源代码等知识产权归属采购人，未经采购人同意</w:t>
      </w:r>
      <w:r>
        <w:rPr>
          <w:rFonts w:hint="eastAsia" w:ascii="宋体" w:hAnsi="宋体" w:cs="楷体"/>
          <w:lang w:eastAsia="zh-CN"/>
        </w:rPr>
        <w:t>投标人</w:t>
      </w:r>
      <w:r>
        <w:rPr>
          <w:rFonts w:hint="eastAsia" w:ascii="宋体" w:hAnsi="宋体" w:cs="楷体"/>
        </w:rPr>
        <w:t>不得利用本项目研究成果进行经营性行为，否则采购人有权要求</w:t>
      </w:r>
      <w:r>
        <w:rPr>
          <w:rFonts w:hint="eastAsia" w:ascii="宋体" w:hAnsi="宋体" w:cs="楷体"/>
          <w:lang w:eastAsia="zh-CN"/>
        </w:rPr>
        <w:t>投标人</w:t>
      </w:r>
      <w:r>
        <w:rPr>
          <w:rFonts w:hint="eastAsia" w:ascii="宋体" w:hAnsi="宋体" w:cs="楷体"/>
        </w:rPr>
        <w:t>返还所有通过本项目知识产权进行的经营所得。</w:t>
      </w:r>
    </w:p>
    <w:p w14:paraId="657EED88">
      <w:pPr>
        <w:spacing w:line="400" w:lineRule="exact"/>
        <w:ind w:firstLine="480"/>
        <w:rPr>
          <w:rFonts w:hint="eastAsia" w:ascii="宋体" w:hAnsi="宋体" w:cs="楷体"/>
          <w:b/>
          <w:bCs/>
        </w:rPr>
      </w:pPr>
      <w:r>
        <w:rPr>
          <w:rFonts w:hint="eastAsia" w:ascii="宋体" w:hAnsi="宋体" w:cs="楷体"/>
          <w:lang w:val="en-US" w:eastAsia="zh-CN"/>
        </w:rPr>
        <w:t>4、</w:t>
      </w:r>
      <w:r>
        <w:rPr>
          <w:rFonts w:hint="eastAsia" w:ascii="宋体" w:hAnsi="宋体" w:cs="楷体"/>
        </w:rPr>
        <w:t>投标人须提供以下承诺：具备与国产信创软硬件产品适配兼容的能力，并在具备国产信创条件后，需免费</w:t>
      </w:r>
      <w:r>
        <w:rPr>
          <w:rFonts w:hint="eastAsia" w:ascii="宋体" w:hAnsi="宋体" w:cs="楷体"/>
          <w:lang w:val="en-US" w:eastAsia="zh-CN"/>
        </w:rPr>
        <w:t>迁移至</w:t>
      </w:r>
      <w:r>
        <w:rPr>
          <w:rFonts w:hint="eastAsia" w:ascii="宋体" w:hAnsi="宋体" w:cs="楷体"/>
        </w:rPr>
        <w:t>国产信创环境。</w:t>
      </w:r>
      <w:r>
        <w:rPr>
          <w:rFonts w:hint="eastAsia" w:ascii="宋体" w:hAnsi="宋体" w:cs="楷体"/>
          <w:b/>
          <w:bCs/>
        </w:rPr>
        <w:t>（投标人须提供承诺函，具体格式见“承诺函”）</w:t>
      </w:r>
    </w:p>
    <w:p w14:paraId="78E57350">
      <w:pPr>
        <w:spacing w:line="400" w:lineRule="exact"/>
        <w:ind w:firstLine="480"/>
        <w:rPr>
          <w:rFonts w:hint="eastAsia" w:ascii="宋体" w:hAnsi="宋体" w:cs="楷体"/>
        </w:rPr>
      </w:pPr>
      <w:r>
        <w:rPr>
          <w:rFonts w:hint="eastAsia" w:ascii="宋体" w:hAnsi="宋体" w:cs="楷体"/>
          <w:lang w:val="en-US" w:eastAsia="zh-CN"/>
        </w:rPr>
        <w:t>5、</w:t>
      </w:r>
      <w:r>
        <w:rPr>
          <w:rFonts w:hint="eastAsia" w:ascii="宋体" w:hAnsi="宋体" w:cs="楷体"/>
          <w:lang w:eastAsia="zh-CN"/>
        </w:rPr>
        <w:t>投标人</w:t>
      </w:r>
      <w:r>
        <w:rPr>
          <w:rFonts w:hint="eastAsia" w:ascii="宋体" w:hAnsi="宋体" w:cs="楷体"/>
        </w:rPr>
        <w:t>成交后应保证在本项目的任何产品使用（包括部分使用）时，不会产生因第三方提出侵犯其专利权、商标权或</w:t>
      </w:r>
      <w:r>
        <w:rPr>
          <w:rFonts w:hint="eastAsia" w:ascii="宋体" w:hAnsi="宋体" w:cs="楷体"/>
          <w:lang w:eastAsia="zh-CN"/>
        </w:rPr>
        <w:t>其他</w:t>
      </w:r>
      <w:r>
        <w:rPr>
          <w:rFonts w:hint="eastAsia" w:ascii="宋体" w:hAnsi="宋体" w:cs="楷体"/>
        </w:rPr>
        <w:t>知识产权而引起的法律和经济纠纷，而影响采购人利益。若因本项目所产生的知识产权纠纷，采购人不承担任何责任。</w:t>
      </w:r>
    </w:p>
    <w:p w14:paraId="0ACE7728">
      <w:pPr>
        <w:spacing w:line="400" w:lineRule="exact"/>
        <w:ind w:firstLine="480"/>
        <w:rPr>
          <w:rFonts w:hint="eastAsia" w:ascii="宋体" w:hAnsi="宋体" w:cs="楷体"/>
        </w:rPr>
      </w:pPr>
      <w:r>
        <w:rPr>
          <w:rFonts w:hint="eastAsia" w:ascii="宋体" w:hAnsi="宋体" w:cs="楷体"/>
          <w:lang w:val="en-US" w:eastAsia="zh-CN"/>
        </w:rPr>
        <w:t>6、</w:t>
      </w:r>
      <w:r>
        <w:rPr>
          <w:rFonts w:hint="eastAsia" w:ascii="宋体" w:hAnsi="宋体" w:cs="楷体"/>
        </w:rPr>
        <w:t>凡涉及采购文件的补充说明或修正，均以江阴市公共资源交易中心书面依据为准。</w:t>
      </w:r>
    </w:p>
    <w:p w14:paraId="33B382B2">
      <w:pPr>
        <w:spacing w:line="400" w:lineRule="exact"/>
        <w:ind w:firstLine="480"/>
        <w:rPr>
          <w:rFonts w:hint="eastAsia"/>
        </w:rPr>
      </w:pPr>
      <w:r>
        <w:rPr>
          <w:rFonts w:hint="eastAsia" w:ascii="宋体" w:hAnsi="宋体" w:cs="楷体"/>
          <w:lang w:val="en-US" w:eastAsia="zh-CN"/>
        </w:rPr>
        <w:t>7、</w:t>
      </w:r>
      <w:r>
        <w:rPr>
          <w:rFonts w:hint="eastAsia" w:ascii="宋体" w:hAnsi="宋体" w:cs="楷体"/>
        </w:rPr>
        <w:t>江阴市公共资源交易中心对本次采购结果不作任何解释。</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Cambria">
    <w:panose1 w:val="02040503050406030204"/>
    <w:charset w:val="00"/>
    <w:family w:val="roman"/>
    <w:pitch w:val="default"/>
    <w:sig w:usb0="E00002FF" w:usb1="400004FF" w:usb2="00000000" w:usb3="00000000" w:csb0="2000019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3E5B">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19321">
                          <w:pPr>
                            <w:pStyle w:val="11"/>
                            <w:ind w:firstLine="36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A19321">
                    <w:pPr>
                      <w:pStyle w:val="11"/>
                      <w:ind w:firstLine="36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544E3">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9D69C">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43E5A">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FE099">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F3EDC">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44C3C"/>
    <w:multiLevelType w:val="multilevel"/>
    <w:tmpl w:val="C1444C3C"/>
    <w:lvl w:ilvl="0" w:tentative="0">
      <w:start w:val="1"/>
      <w:numFmt w:val="decimal"/>
      <w:pStyle w:val="3"/>
      <w:suff w:val="nothing"/>
      <w:lvlText w:val="%1"/>
      <w:lvlJc w:val="left"/>
      <w:pPr>
        <w:ind w:left="0" w:firstLine="0"/>
      </w:pPr>
      <w:rPr>
        <w:rFonts w:hint="default"/>
      </w:rPr>
    </w:lvl>
    <w:lvl w:ilvl="1" w:tentative="0">
      <w:start w:val="1"/>
      <w:numFmt w:val="decimal"/>
      <w:pStyle w:val="2"/>
      <w:isLgl/>
      <w:suff w:val="nothing"/>
      <w:lvlText w:val="%1.%2"/>
      <w:lvlJc w:val="left"/>
      <w:pPr>
        <w:tabs>
          <w:tab w:val="left" w:pos="0"/>
        </w:tabs>
        <w:ind w:left="0" w:firstLine="0"/>
      </w:pPr>
      <w:rPr>
        <w:rFonts w:hint="eastAsia"/>
      </w:rPr>
    </w:lvl>
    <w:lvl w:ilvl="2" w:tentative="0">
      <w:start w:val="1"/>
      <w:numFmt w:val="decimal"/>
      <w:pStyle w:val="4"/>
      <w:isLgl/>
      <w:suff w:val="nothing"/>
      <w:lvlText w:val="%1.%2.%3"/>
      <w:lvlJc w:val="left"/>
      <w:pPr>
        <w:ind w:left="567" w:firstLine="0"/>
      </w:pPr>
      <w:rPr>
        <w:rFonts w:hint="eastAsia"/>
      </w:rPr>
    </w:lvl>
    <w:lvl w:ilvl="3" w:tentative="0">
      <w:start w:val="1"/>
      <w:numFmt w:val="decimal"/>
      <w:isLgl/>
      <w:suff w:val="nothing"/>
      <w:lvlText w:val="%1.%2.%3.%4"/>
      <w:lvlJc w:val="left"/>
      <w:pPr>
        <w:ind w:left="0" w:firstLine="0"/>
      </w:pPr>
      <w:rPr>
        <w:rFonts w:hint="default" w:ascii="Times New Roman" w:hAnsi="Times New Roman" w:cs="Times New Roman"/>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isLgl/>
      <w:suff w:val="nothing"/>
      <w:lvlText w:val="%1.%2.%3.%4.%5"/>
      <w:lvlJc w:val="left"/>
      <w:pPr>
        <w:ind w:left="0" w:firstLine="0"/>
      </w:pPr>
      <w:rPr>
        <w:rFonts w:hint="eastAsia"/>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5A6"/>
    <w:rsid w:val="00015ACB"/>
    <w:rsid w:val="000F105D"/>
    <w:rsid w:val="001327A1"/>
    <w:rsid w:val="00180F3D"/>
    <w:rsid w:val="001A19AE"/>
    <w:rsid w:val="001C1D35"/>
    <w:rsid w:val="002D2C4F"/>
    <w:rsid w:val="003C3C2D"/>
    <w:rsid w:val="003F713F"/>
    <w:rsid w:val="004C4DF4"/>
    <w:rsid w:val="005F7CF0"/>
    <w:rsid w:val="00620DE6"/>
    <w:rsid w:val="00677660"/>
    <w:rsid w:val="006B1EAD"/>
    <w:rsid w:val="007C0936"/>
    <w:rsid w:val="00825332"/>
    <w:rsid w:val="00844581"/>
    <w:rsid w:val="00AC66F5"/>
    <w:rsid w:val="00B0708A"/>
    <w:rsid w:val="00BD0421"/>
    <w:rsid w:val="00C11035"/>
    <w:rsid w:val="00C16BA4"/>
    <w:rsid w:val="00C80085"/>
    <w:rsid w:val="00C934AE"/>
    <w:rsid w:val="00CA2A23"/>
    <w:rsid w:val="00CE033B"/>
    <w:rsid w:val="00D13997"/>
    <w:rsid w:val="00EB286C"/>
    <w:rsid w:val="00EE5B90"/>
    <w:rsid w:val="00F51FE0"/>
    <w:rsid w:val="00F665A6"/>
    <w:rsid w:val="017D28C1"/>
    <w:rsid w:val="02F20765"/>
    <w:rsid w:val="046E3C87"/>
    <w:rsid w:val="04BA782D"/>
    <w:rsid w:val="04C133B2"/>
    <w:rsid w:val="05B17AFC"/>
    <w:rsid w:val="069730FB"/>
    <w:rsid w:val="06B807E5"/>
    <w:rsid w:val="07C97778"/>
    <w:rsid w:val="07D3624E"/>
    <w:rsid w:val="08585C62"/>
    <w:rsid w:val="08B31BA6"/>
    <w:rsid w:val="08C2701F"/>
    <w:rsid w:val="08EC42B3"/>
    <w:rsid w:val="090758AF"/>
    <w:rsid w:val="09250D22"/>
    <w:rsid w:val="0967204A"/>
    <w:rsid w:val="09B713FD"/>
    <w:rsid w:val="0A0D238C"/>
    <w:rsid w:val="0A6F33EA"/>
    <w:rsid w:val="0B0269E2"/>
    <w:rsid w:val="0B52270F"/>
    <w:rsid w:val="0B5730A8"/>
    <w:rsid w:val="0B713EAA"/>
    <w:rsid w:val="0B7C5EEB"/>
    <w:rsid w:val="0BBB40F3"/>
    <w:rsid w:val="0BCF7C3A"/>
    <w:rsid w:val="0BE3650F"/>
    <w:rsid w:val="0C070962"/>
    <w:rsid w:val="0D562216"/>
    <w:rsid w:val="0DCD49A0"/>
    <w:rsid w:val="0E093500"/>
    <w:rsid w:val="0E392A53"/>
    <w:rsid w:val="0E552DBD"/>
    <w:rsid w:val="0E552FD0"/>
    <w:rsid w:val="0EFB1BB6"/>
    <w:rsid w:val="0F12144F"/>
    <w:rsid w:val="0F1C2D99"/>
    <w:rsid w:val="0F794FF3"/>
    <w:rsid w:val="0FA5626C"/>
    <w:rsid w:val="112C38F2"/>
    <w:rsid w:val="112E1562"/>
    <w:rsid w:val="1189484A"/>
    <w:rsid w:val="123329F1"/>
    <w:rsid w:val="125C6E10"/>
    <w:rsid w:val="12E32A93"/>
    <w:rsid w:val="12EC5D23"/>
    <w:rsid w:val="13A740BB"/>
    <w:rsid w:val="14281CB8"/>
    <w:rsid w:val="14C2388E"/>
    <w:rsid w:val="157437E2"/>
    <w:rsid w:val="15CE5420"/>
    <w:rsid w:val="16CD49B3"/>
    <w:rsid w:val="16DD4119"/>
    <w:rsid w:val="17014816"/>
    <w:rsid w:val="172B6D8B"/>
    <w:rsid w:val="17665462"/>
    <w:rsid w:val="17A149DF"/>
    <w:rsid w:val="17E67672"/>
    <w:rsid w:val="18493992"/>
    <w:rsid w:val="19047724"/>
    <w:rsid w:val="192F0DDA"/>
    <w:rsid w:val="19A56ACA"/>
    <w:rsid w:val="1A0E2ECF"/>
    <w:rsid w:val="1C580648"/>
    <w:rsid w:val="1C640D9B"/>
    <w:rsid w:val="1CA23C7C"/>
    <w:rsid w:val="1CC80EC6"/>
    <w:rsid w:val="1D1B326A"/>
    <w:rsid w:val="1DB40D49"/>
    <w:rsid w:val="1DBC6511"/>
    <w:rsid w:val="1E776406"/>
    <w:rsid w:val="1F95795C"/>
    <w:rsid w:val="1FC1708B"/>
    <w:rsid w:val="20F854DD"/>
    <w:rsid w:val="211F34E2"/>
    <w:rsid w:val="214E33B7"/>
    <w:rsid w:val="214F21EB"/>
    <w:rsid w:val="216B4463"/>
    <w:rsid w:val="218E68BA"/>
    <w:rsid w:val="21A5259A"/>
    <w:rsid w:val="22181C62"/>
    <w:rsid w:val="22AA6527"/>
    <w:rsid w:val="22F77BCF"/>
    <w:rsid w:val="23357A25"/>
    <w:rsid w:val="2378007B"/>
    <w:rsid w:val="23805FCC"/>
    <w:rsid w:val="23941218"/>
    <w:rsid w:val="243478D7"/>
    <w:rsid w:val="246A734E"/>
    <w:rsid w:val="24706CC1"/>
    <w:rsid w:val="24E45993"/>
    <w:rsid w:val="24E8430B"/>
    <w:rsid w:val="24F90B21"/>
    <w:rsid w:val="276C463A"/>
    <w:rsid w:val="27891330"/>
    <w:rsid w:val="2795508D"/>
    <w:rsid w:val="27DD30F2"/>
    <w:rsid w:val="280C70A2"/>
    <w:rsid w:val="283C0E1E"/>
    <w:rsid w:val="28467821"/>
    <w:rsid w:val="285E43DF"/>
    <w:rsid w:val="29431FF9"/>
    <w:rsid w:val="2A173293"/>
    <w:rsid w:val="2A631E10"/>
    <w:rsid w:val="2A8E1323"/>
    <w:rsid w:val="2AB55FD5"/>
    <w:rsid w:val="2AC55FB0"/>
    <w:rsid w:val="2AE627D4"/>
    <w:rsid w:val="2B083239"/>
    <w:rsid w:val="2B2B0591"/>
    <w:rsid w:val="2BB313F7"/>
    <w:rsid w:val="2D3D715C"/>
    <w:rsid w:val="2D5D2906"/>
    <w:rsid w:val="2D711A3E"/>
    <w:rsid w:val="2DC7628F"/>
    <w:rsid w:val="2DCA5432"/>
    <w:rsid w:val="2E114810"/>
    <w:rsid w:val="2E241CDC"/>
    <w:rsid w:val="2E2C36E3"/>
    <w:rsid w:val="2F511653"/>
    <w:rsid w:val="2FD933F6"/>
    <w:rsid w:val="302428C3"/>
    <w:rsid w:val="30451D87"/>
    <w:rsid w:val="308040AE"/>
    <w:rsid w:val="30DF79BB"/>
    <w:rsid w:val="30E12FF7"/>
    <w:rsid w:val="310A0D01"/>
    <w:rsid w:val="311114F0"/>
    <w:rsid w:val="34496D9C"/>
    <w:rsid w:val="3459484B"/>
    <w:rsid w:val="34986CB3"/>
    <w:rsid w:val="34A30568"/>
    <w:rsid w:val="35977693"/>
    <w:rsid w:val="35A64260"/>
    <w:rsid w:val="35B62A74"/>
    <w:rsid w:val="363F1059"/>
    <w:rsid w:val="364C4922"/>
    <w:rsid w:val="3652180C"/>
    <w:rsid w:val="369C0AAB"/>
    <w:rsid w:val="36AA0DE7"/>
    <w:rsid w:val="36DC6F0E"/>
    <w:rsid w:val="36FC7442"/>
    <w:rsid w:val="378123A9"/>
    <w:rsid w:val="38AE508D"/>
    <w:rsid w:val="39146CB2"/>
    <w:rsid w:val="393206E7"/>
    <w:rsid w:val="39B131B3"/>
    <w:rsid w:val="3A970A2B"/>
    <w:rsid w:val="3AC6095A"/>
    <w:rsid w:val="3AD43C01"/>
    <w:rsid w:val="3B926F4C"/>
    <w:rsid w:val="3BEE0D20"/>
    <w:rsid w:val="3C362434"/>
    <w:rsid w:val="3C414986"/>
    <w:rsid w:val="3CDD09B4"/>
    <w:rsid w:val="3CFB31BF"/>
    <w:rsid w:val="3D22462E"/>
    <w:rsid w:val="3D3879AE"/>
    <w:rsid w:val="3D955235"/>
    <w:rsid w:val="3E4800C5"/>
    <w:rsid w:val="3E613A4B"/>
    <w:rsid w:val="3E6524C2"/>
    <w:rsid w:val="3E6D18D9"/>
    <w:rsid w:val="3EB61701"/>
    <w:rsid w:val="3F011A67"/>
    <w:rsid w:val="3F987B15"/>
    <w:rsid w:val="3FBE3454"/>
    <w:rsid w:val="4032514F"/>
    <w:rsid w:val="40554E8F"/>
    <w:rsid w:val="40842268"/>
    <w:rsid w:val="40DF0E7D"/>
    <w:rsid w:val="42721168"/>
    <w:rsid w:val="427F3327"/>
    <w:rsid w:val="431247FD"/>
    <w:rsid w:val="43C66D0A"/>
    <w:rsid w:val="4435280B"/>
    <w:rsid w:val="445C7785"/>
    <w:rsid w:val="44EA1E13"/>
    <w:rsid w:val="450D2EEE"/>
    <w:rsid w:val="4512029A"/>
    <w:rsid w:val="454F13DC"/>
    <w:rsid w:val="46C21900"/>
    <w:rsid w:val="478C723E"/>
    <w:rsid w:val="47BC11DC"/>
    <w:rsid w:val="47E449CB"/>
    <w:rsid w:val="48CC5AB4"/>
    <w:rsid w:val="49251130"/>
    <w:rsid w:val="49792400"/>
    <w:rsid w:val="49933A5A"/>
    <w:rsid w:val="4A163631"/>
    <w:rsid w:val="4AC24D5B"/>
    <w:rsid w:val="4B2477C4"/>
    <w:rsid w:val="4B4E7897"/>
    <w:rsid w:val="4B8F7333"/>
    <w:rsid w:val="4BD74CBD"/>
    <w:rsid w:val="4BEB02E1"/>
    <w:rsid w:val="4C562CF2"/>
    <w:rsid w:val="4CC56D84"/>
    <w:rsid w:val="4CE52F83"/>
    <w:rsid w:val="4D082AAF"/>
    <w:rsid w:val="4D131330"/>
    <w:rsid w:val="4D8245E0"/>
    <w:rsid w:val="4EA66BE5"/>
    <w:rsid w:val="4F2C1DF1"/>
    <w:rsid w:val="4F2E072B"/>
    <w:rsid w:val="50B7284A"/>
    <w:rsid w:val="50BB7CA5"/>
    <w:rsid w:val="50BE7C5E"/>
    <w:rsid w:val="51180D53"/>
    <w:rsid w:val="517F0E73"/>
    <w:rsid w:val="51A927D1"/>
    <w:rsid w:val="51D4536B"/>
    <w:rsid w:val="52120BF1"/>
    <w:rsid w:val="52BE7ACF"/>
    <w:rsid w:val="538A46B0"/>
    <w:rsid w:val="539128D9"/>
    <w:rsid w:val="53E76998"/>
    <w:rsid w:val="546C216D"/>
    <w:rsid w:val="553928F3"/>
    <w:rsid w:val="559D264C"/>
    <w:rsid w:val="56707EE0"/>
    <w:rsid w:val="56A90876"/>
    <w:rsid w:val="57064414"/>
    <w:rsid w:val="570F30D6"/>
    <w:rsid w:val="57C00874"/>
    <w:rsid w:val="58B8779D"/>
    <w:rsid w:val="58C818D5"/>
    <w:rsid w:val="59103CAB"/>
    <w:rsid w:val="59417FE6"/>
    <w:rsid w:val="59993355"/>
    <w:rsid w:val="59D91176"/>
    <w:rsid w:val="5A923E63"/>
    <w:rsid w:val="5AAF1AAA"/>
    <w:rsid w:val="5C2869E8"/>
    <w:rsid w:val="5C2F241C"/>
    <w:rsid w:val="5C4C7109"/>
    <w:rsid w:val="5C6F7EB5"/>
    <w:rsid w:val="5CC9210B"/>
    <w:rsid w:val="5D4A130C"/>
    <w:rsid w:val="5D766567"/>
    <w:rsid w:val="5D8D62E3"/>
    <w:rsid w:val="5DC51E56"/>
    <w:rsid w:val="5FB72FBE"/>
    <w:rsid w:val="5FC66C44"/>
    <w:rsid w:val="603B0463"/>
    <w:rsid w:val="606F41CF"/>
    <w:rsid w:val="60B0300D"/>
    <w:rsid w:val="60B61E8A"/>
    <w:rsid w:val="60C570A5"/>
    <w:rsid w:val="60EF2442"/>
    <w:rsid w:val="61094D40"/>
    <w:rsid w:val="617432D0"/>
    <w:rsid w:val="633038E4"/>
    <w:rsid w:val="63527F7F"/>
    <w:rsid w:val="642B717A"/>
    <w:rsid w:val="64880077"/>
    <w:rsid w:val="64A06F6F"/>
    <w:rsid w:val="64C739C3"/>
    <w:rsid w:val="64E0408C"/>
    <w:rsid w:val="64FB68CB"/>
    <w:rsid w:val="65270184"/>
    <w:rsid w:val="655526F3"/>
    <w:rsid w:val="660F69CC"/>
    <w:rsid w:val="662059D2"/>
    <w:rsid w:val="66BA2A18"/>
    <w:rsid w:val="66E55A5B"/>
    <w:rsid w:val="67233B28"/>
    <w:rsid w:val="6838232D"/>
    <w:rsid w:val="68D930B4"/>
    <w:rsid w:val="68E343C2"/>
    <w:rsid w:val="69C02956"/>
    <w:rsid w:val="69C855CE"/>
    <w:rsid w:val="69F9301B"/>
    <w:rsid w:val="6A4341E3"/>
    <w:rsid w:val="6A9C2F2D"/>
    <w:rsid w:val="6AA851C0"/>
    <w:rsid w:val="6B9B15F5"/>
    <w:rsid w:val="6C2A305D"/>
    <w:rsid w:val="6D3919FC"/>
    <w:rsid w:val="6DA210B8"/>
    <w:rsid w:val="6E535416"/>
    <w:rsid w:val="6F231DA4"/>
    <w:rsid w:val="6F463D00"/>
    <w:rsid w:val="6FFD5A47"/>
    <w:rsid w:val="705B7E14"/>
    <w:rsid w:val="70B21D3B"/>
    <w:rsid w:val="70D05B50"/>
    <w:rsid w:val="715312EF"/>
    <w:rsid w:val="72646574"/>
    <w:rsid w:val="728D0CB8"/>
    <w:rsid w:val="72EC5043"/>
    <w:rsid w:val="73971CE9"/>
    <w:rsid w:val="73A17823"/>
    <w:rsid w:val="73C612C6"/>
    <w:rsid w:val="73E04ECB"/>
    <w:rsid w:val="74734F4C"/>
    <w:rsid w:val="748E220B"/>
    <w:rsid w:val="74B16002"/>
    <w:rsid w:val="752D137E"/>
    <w:rsid w:val="756B7BA0"/>
    <w:rsid w:val="75722B2C"/>
    <w:rsid w:val="758328FE"/>
    <w:rsid w:val="75D62373"/>
    <w:rsid w:val="765A0A00"/>
    <w:rsid w:val="767B02E6"/>
    <w:rsid w:val="76B22A0A"/>
    <w:rsid w:val="77026994"/>
    <w:rsid w:val="774C501D"/>
    <w:rsid w:val="777C5DA4"/>
    <w:rsid w:val="78250319"/>
    <w:rsid w:val="788D71B5"/>
    <w:rsid w:val="79267AB1"/>
    <w:rsid w:val="7A021732"/>
    <w:rsid w:val="7A4078C7"/>
    <w:rsid w:val="7A440607"/>
    <w:rsid w:val="7A6448CE"/>
    <w:rsid w:val="7B6D4331"/>
    <w:rsid w:val="7B835FAF"/>
    <w:rsid w:val="7CA3770C"/>
    <w:rsid w:val="7CD40A69"/>
    <w:rsid w:val="7D356C4E"/>
    <w:rsid w:val="7D9046C1"/>
    <w:rsid w:val="7E452791"/>
    <w:rsid w:val="7EEB5927"/>
    <w:rsid w:val="7F0E7370"/>
    <w:rsid w:val="7F3C7B6F"/>
    <w:rsid w:val="F667C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qFormat/>
    <w:uiPriority w:val="0"/>
    <w:pPr>
      <w:keepNext/>
      <w:keepLines/>
      <w:numPr>
        <w:ilvl w:val="0"/>
        <w:numId w:val="1"/>
      </w:numPr>
      <w:ind w:firstLineChars="0"/>
      <w:jc w:val="left"/>
      <w:outlineLvl w:val="0"/>
    </w:pPr>
    <w:rPr>
      <w:b/>
      <w:bCs/>
      <w:kern w:val="44"/>
      <w:sz w:val="44"/>
      <w:szCs w:val="84"/>
    </w:rPr>
  </w:style>
  <w:style w:type="paragraph" w:styleId="2">
    <w:name w:val="heading 2"/>
    <w:basedOn w:val="1"/>
    <w:next w:val="1"/>
    <w:qFormat/>
    <w:uiPriority w:val="0"/>
    <w:pPr>
      <w:keepNext/>
      <w:keepLines/>
      <w:numPr>
        <w:ilvl w:val="1"/>
        <w:numId w:val="1"/>
      </w:numPr>
      <w:ind w:firstLineChars="0"/>
      <w:outlineLvl w:val="1"/>
    </w:pPr>
    <w:rPr>
      <w:b/>
      <w:bCs/>
      <w:sz w:val="32"/>
      <w:szCs w:val="32"/>
    </w:rPr>
  </w:style>
  <w:style w:type="paragraph" w:styleId="4">
    <w:name w:val="heading 3"/>
    <w:basedOn w:val="1"/>
    <w:next w:val="1"/>
    <w:qFormat/>
    <w:uiPriority w:val="0"/>
    <w:pPr>
      <w:keepNext/>
      <w:keepLines/>
      <w:numPr>
        <w:ilvl w:val="2"/>
        <w:numId w:val="1"/>
      </w:numPr>
      <w:ind w:firstLineChars="0"/>
      <w:outlineLvl w:val="2"/>
    </w:pPr>
    <w:rPr>
      <w:b/>
      <w:bCs/>
      <w:sz w:val="30"/>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next w:val="9"/>
    <w:qFormat/>
    <w:uiPriority w:val="0"/>
    <w:pPr>
      <w:ind w:firstLine="420" w:firstLineChars="200"/>
    </w:pPr>
    <w:rPr>
      <w:rFonts w:ascii="宋体" w:hAnsi="宋体"/>
    </w:rPr>
  </w:style>
  <w:style w:type="paragraph" w:styleId="9">
    <w:name w:val="envelope return"/>
    <w:basedOn w:val="1"/>
    <w:qFormat/>
    <w:uiPriority w:val="0"/>
    <w:pPr>
      <w:tabs>
        <w:tab w:val="left" w:pos="1630"/>
      </w:tabs>
      <w:snapToGrid w:val="0"/>
      <w:jc w:val="left"/>
    </w:pPr>
    <w:rPr>
      <w:rFonts w:ascii="Arial" w:hAnsi="Arial" w:eastAsia="DFKai-SB" w:cs="Arial"/>
      <w:sz w:val="28"/>
      <w:lang w:eastAsia="zh-TW"/>
    </w:rPr>
  </w:style>
  <w:style w:type="paragraph" w:styleId="10">
    <w:name w:val="Balloon Text"/>
    <w:basedOn w:val="1"/>
    <w:link w:val="18"/>
    <w:qFormat/>
    <w:uiPriority w:val="0"/>
    <w:pPr>
      <w:spacing w:line="240" w:lineRule="auto"/>
    </w:pPr>
    <w:rPr>
      <w:sz w:val="18"/>
      <w:szCs w:val="18"/>
    </w:rPr>
  </w:style>
  <w:style w:type="paragraph" w:styleId="11">
    <w:name w:val="footer"/>
    <w:basedOn w:val="1"/>
    <w:qFormat/>
    <w:uiPriority w:val="0"/>
    <w:pPr>
      <w:tabs>
        <w:tab w:val="center" w:pos="4153"/>
        <w:tab w:val="right" w:pos="8306"/>
      </w:tabs>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3">
    <w:name w:val="Body Text First Indent 2"/>
    <w:basedOn w:val="8"/>
    <w:qFormat/>
    <w:uiPriority w:val="0"/>
    <w:pPr>
      <w:spacing w:after="120"/>
      <w:ind w:left="480" w:leftChars="200" w:firstLine="210" w:firstLineChars="100"/>
      <w:jc w:val="left"/>
    </w:pPr>
    <w:rPr>
      <w:rFonts w:ascii="DFKai-SB" w:eastAsia="DFKai-SB"/>
      <w:spacing w:val="-8"/>
    </w:rPr>
  </w:style>
  <w:style w:type="table" w:styleId="15">
    <w:name w:val="Table Grid"/>
    <w:basedOn w:val="1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__正文"/>
    <w:qFormat/>
    <w:uiPriority w:val="0"/>
    <w:pPr>
      <w:spacing w:line="360" w:lineRule="auto"/>
      <w:ind w:firstLine="200" w:firstLineChars="200"/>
    </w:pPr>
    <w:rPr>
      <w:rFonts w:asciiTheme="minorHAnsi" w:hAnsiTheme="minorHAnsi" w:eastAsiaTheme="minorEastAsia" w:cstheme="minorBidi"/>
      <w:kern w:val="2"/>
      <w:sz w:val="24"/>
      <w:szCs w:val="21"/>
      <w:lang w:val="en-US" w:eastAsia="zh-CN" w:bidi="ar-SA"/>
    </w:rPr>
  </w:style>
  <w:style w:type="character" w:customStyle="1" w:styleId="18">
    <w:name w:val="批注框文本 Char"/>
    <w:basedOn w:val="16"/>
    <w:link w:val="10"/>
    <w:qFormat/>
    <w:uiPriority w:val="0"/>
    <w:rPr>
      <w:rFonts w:ascii="Times New Roman" w:hAnsi="Times New Roman" w:eastAsia="宋体" w:cs="Times New Roman"/>
      <w:kern w:val="2"/>
      <w:sz w:val="18"/>
      <w:szCs w:val="18"/>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3.xml><?xml version="1.0" encoding="utf-8"?>
<contractReview xmlns="http://schemas.wps.cn/vas-ai-hub/contract-review">
  <reviewItems>
    <reviewItem>
      <errorID>57c4ff22-365a-4da6-993f-3554ce4b950d</errorID>
      <errorWord>一网通办</errorWord>
      <group>L1_Political</group>
      <groupName>政治性问题</groupName>
      <ability>L2_Keyword</ability>
      <abilityName>固定表述</abilityName>
      <candidateList>
        <item>“一网通办”</item>
      </candidateList>
      <explain>注意检查当前固定表述标点是否使用规范。</explain>
      <paraID>4DAF60B7</paraID>
      <start>2</start>
      <end>6</end>
      <status>unmodified</status>
      <modifiedWord/>
      <trackRevisions>false</trackRevisions>
    </reviewItem>
    <reviewItem>
      <errorID>e7a03b0e-1010-4655-b610-5ffae2efc254</errorID>
      <errorWord>一网通办</errorWord>
      <group>L1_Political</group>
      <groupName>政治性问题</groupName>
      <ability>L2_Keyword</ability>
      <abilityName>固定表述</abilityName>
      <candidateList>
        <item>“一网通办”</item>
      </candidateList>
      <explain>注意检查当前固定表述标点是否使用规范。</explain>
      <paraID>5BEB3FB2</paraID>
      <start>5</start>
      <end>9</end>
      <status>unmodified</status>
      <modifiedWord/>
      <trackRevisions>false</trackRevisions>
    </reviewItem>
    <reviewItem>
      <errorID>87e51380-6baa-438f-8707-8ca732678e1c</errorID>
      <errorWord>、</errorWord>
      <group>L1_Word</group>
      <groupName>字词问题</groupName>
      <ability>L2_Typo</ability>
      <abilityName>字词错误</abilityName>
      <candidateList>
        <item>、可</item>
      </candidateList>
      <explain/>
      <paraID>48D28C40</paraID>
      <start>24</start>
      <end>25</end>
      <status>unmodified</status>
      <modifiedWord/>
      <trackRevisions>false</trackRevisions>
    </reviewItem>
    <reviewItem>
      <errorID>6aae8fbc-b290-4316-8754-b22b883d6afd</errorID>
      <errorWord>-</errorWord>
      <group>L1_Format</group>
      <groupName>格式问题</groupName>
      <ability>L2_HalfPunc</ability>
      <abilityName>全半角检查</abilityName>
      <candidateList>
        <item>－</item>
      </candidateList>
      <explain>文本全半角错误。</explain>
      <paraID>5591DC91</paraID>
      <start>4</start>
      <end>5</end>
      <status>unmodified</status>
      <modifiedWord/>
      <trackRevisions>false</trackRevisions>
    </reviewItem>
    <reviewItem>
      <errorID>e4b44550-eb96-48c4-8746-33355ac9f025</errorID>
      <errorWord>-</errorWord>
      <group>L1_Format</group>
      <groupName>格式问题</groupName>
      <ability>L2_HalfPunc</ability>
      <abilityName>全半角检查</abilityName>
      <candidateList>
        <item>－</item>
      </candidateList>
      <explain>文本全半角错误。</explain>
      <paraID> 423099F</paraID>
      <start>25</start>
      <end>26</end>
      <status>unmodified</status>
      <modifiedWord/>
      <trackRevisions>false</trackRevisions>
    </reviewItem>
    <reviewItem>
      <errorID>a251218a-a5e8-467f-bd30-48dfd651c6c9</errorID>
      <errorWord>清单表</errorWord>
      <group>L1_Word</group>
      <groupName>字词问题</groupName>
      <ability>L2_Typo</ability>
      <abilityName>字词错误</abilityName>
      <candidateList>
        <item>清单</item>
      </candidateList>
      <explain/>
      <paraID>781AA356</paraID>
      <start>43</start>
      <end>46</end>
      <status>unmodified</status>
      <modifiedWord/>
      <trackRevisions>false</trackRevisions>
    </reviewItem>
    <reviewItem>
      <errorID>bc966946-8a9d-494b-9b71-773978d3025b</errorID>
      <errorWord>数</errorWord>
      <group>L1_Word</group>
      <groupName>字词问题</groupName>
      <ability>L2_Typo</ability>
      <abilityName>字词错误</abilityName>
      <candidateList>
        <item>数据</item>
      </candidateList>
      <explain/>
      <paraID>21A51E04</paraID>
      <start>13</start>
      <end>14</end>
      <status>unmodified</status>
      <modifiedWord/>
      <trackRevisions>false</trackRevisions>
    </reviewItem>
    <reviewItem>
      <errorID>ab6fbe60-9e88-4912-ae44-a0328f940cbd</errorID>
      <errorWord>-</errorWord>
      <group>L1_Format</group>
      <groupName>格式问题</groupName>
      <ability>L2_HalfPunc</ability>
      <abilityName>全半角检查</abilityName>
      <candidateList>
        <item>－</item>
      </candidateList>
      <explain>文本全半角错误。</explain>
      <paraID>2DE4E630</paraID>
      <start>5</start>
      <end>6</end>
      <status>unmodified</status>
      <modifiedWord/>
      <trackRevisions>false</trackRevisions>
    </reviewItem>
    <reviewItem>
      <errorID>6704d016-da8b-4360-aad6-e7cf2c4e2861</errorID>
      <errorWord>-</errorWord>
      <group>L1_Format</group>
      <groupName>格式问题</groupName>
      <ability>L2_HalfPunc</ability>
      <abilityName>全半角检查</abilityName>
      <candidateList>
        <item>－</item>
      </candidateList>
      <explain>文本全半角错误。</explain>
      <paraID>2DE4E630</paraID>
      <start>8</start>
      <end>9</end>
      <status>unmodified</status>
      <modifiedWord/>
      <trackRevisions>false</trackRevisions>
    </reviewItem>
    <reviewItem>
      <errorID>2500d43f-9a8c-4af4-82db-a9dc4128085f</errorID>
      <errorWord>常驻人口</errorWord>
      <group>L1_Knowledge</group>
      <groupName>知识性问题</groupName>
      <ability>L2_Term</ability>
      <abilityName>专业术语</abilityName>
      <candidateList>
        <item>常住人口</item>
      </candidateList>
      <explain/>
      <paraID>7EBBD0ED</paraID>
      <start>35</start>
      <end>39</end>
      <status>unmodified</status>
      <modifiedWord/>
      <trackRevisions>false</trackRevisions>
    </reviewItem>
    <reviewItem>
      <errorID>83167f70-a6e3-415b-a07f-0175f9b824ca</errorID>
      <errorWord>-</errorWord>
      <group>L1_Format</group>
      <groupName>格式问题</groupName>
      <ability>L2_HalfPunc</ability>
      <abilityName>全半角检查</abilityName>
      <candidateList>
        <item>－</item>
      </candidateList>
      <explain>文本全半角错误。</explain>
      <paraID>6CD81E7C</paraID>
      <start>4</start>
      <end>5</end>
      <status>unmodified</status>
      <modifiedWord/>
      <trackRevisions>false</trackRevisions>
    </reviewItem>
    <reviewItem>
      <errorID>7d9f34a1-bd37-4823-93c0-a49990e5b8d2</errorID>
      <errorWord>-</errorWord>
      <group>L1_Format</group>
      <groupName>格式问题</groupName>
      <ability>L2_HalfPunc</ability>
      <abilityName>全半角检查</abilityName>
      <candidateList>
        <item>－</item>
      </candidateList>
      <explain>文本全半角错误。</explain>
      <paraID>74DF03A4</paraID>
      <start>4</start>
      <end>5</end>
      <status>unmodified</status>
      <modifiedWord/>
      <trackRevisions>false</trackRevisions>
    </reviewItem>
    <reviewItem>
      <errorID>45c66ec6-3602-431a-a5b5-e219ae5eefc4</errorID>
      <errorWord>-</errorWord>
      <group>L1_Format</group>
      <groupName>格式问题</groupName>
      <ability>L2_HalfPunc</ability>
      <abilityName>全半角检查</abilityName>
      <candidateList>
        <item>－</item>
      </candidateList>
      <explain>文本全半角错误。</explain>
      <paraID>7762FD6D</paraID>
      <start>4</start>
      <end>5</end>
      <status>unmodified</status>
      <modifiedWord/>
      <trackRevisions>false</trackRevisions>
    </reviewItem>
    <reviewItem>
      <errorID>fec468a4-d813-4b98-8639-8e6f44031deb</errorID>
      <errorWord>-</errorWord>
      <group>L1_Format</group>
      <groupName>格式问题</groupName>
      <ability>L2_HalfPunc</ability>
      <abilityName>全半角检查</abilityName>
      <candidateList>
        <item>－</item>
      </candidateList>
      <explain>文本全半角错误。</explain>
      <paraID>28EA80CE</paraID>
      <start>4</start>
      <end>5</end>
      <status>unmodified</status>
      <modifiedWord/>
      <trackRevisions>false</trackRevisions>
    </reviewItem>
    <reviewItem>
      <errorID>1e39b8cd-621d-483c-bed0-b63b5c6808f9</errorID>
      <errorWord>分配</errorWord>
      <group>L1_Word</group>
      <groupName>字词问题</groupName>
      <ability>L2_Typo</ability>
      <abilityName>字词错误</abilityName>
      <candidateList>
        <item>分类</item>
      </candidateList>
      <explain/>
      <paraID>7C164A11</paraID>
      <start>45</start>
      <end>47</end>
      <status>unmodified</status>
      <modifiedWord/>
      <trackRevisions>false</trackRevisions>
    </reviewItem>
    <reviewItem>
      <errorID>fe4a6132-a65c-4f3f-ba5a-1a6cdb46e449</errorID>
      <errorWord>历程</errorWord>
      <group>L1_Word</group>
      <groupName>字词问题</groupName>
      <ability>L2_Typo</ability>
      <abilityName>字词错误</abilityName>
      <candidateList>
        <item>里程</item>
      </candidateList>
      <explain>〈名〉❶路程：～表｜往返～。❷指发展的过程：革命的～。</explain>
      <paraID>4860AE50</paraID>
      <start>4</start>
      <end>6</end>
      <status>unmodified</status>
      <modifiedWord/>
      <trackRevisions>false</trackRevisions>
    </reviewItem>
    <reviewItem>
      <errorID>dc1a189f-d936-4d13-891f-84a0ae338d6f</errorID>
      <errorWord>血缘</errorWord>
      <group>L1_Word</group>
      <groupName>字词问题</groupName>
      <ability>L2_Typo</ability>
      <abilityName>字词错误</abilityName>
      <candidateList>
        <item>血源</item>
      </candidateList>
      <explain>存在发音相同字词的误用。</explain>
      <paraID>5462EB6A</paraID>
      <start>63</start>
      <end>65</end>
      <status>unmodified</status>
      <modifiedWord/>
      <trackRevisions>false</trackRevisions>
    </reviewItem>
    <reviewItem>
      <errorID>14cfbd86-48ca-4b1a-9155-d60b1412f5a5</errorID>
      <errorWord>投标主体</errorWord>
      <group>L1_Knowledge</group>
      <groupName>知识性问题</groupName>
      <ability>L2_Term</ability>
      <abilityName>专业术语</abilityName>
      <candidateList>
        <item>投资主体</item>
      </candidateList>
      <explain/>
      <paraID>240F1385</paraID>
      <start>27</start>
      <end>31</end>
      <status>unmodified</status>
      <modifiedWord/>
      <trackRevisions>false</trackRevisions>
    </reviewItem>
    <reviewItem>
      <errorID>55af0e8c-cd04-4a03-9dec-02aa3f5943a6</errorID>
      <errorWord>数</errorWord>
      <group>L1_Word</group>
      <groupName>字词问题</groupName>
      <ability>L2_Typo</ability>
      <abilityName>字词错误</abilityName>
      <candidateList>
        <item>数量</item>
      </candidateList>
      <explain/>
      <paraID>    9C50</paraID>
      <start>8</start>
      <end>9</end>
      <status>unmodified</status>
      <modifiedWord/>
      <trackRevisions>false</trackRevisions>
    </reviewItem>
    <reviewItem>
      <errorID>8f7b7258-dff3-4da9-b417-8db551cb1fba</errorID>
      <errorWord>-</errorWord>
      <group>L1_Format</group>
      <groupName>格式问题</groupName>
      <ability>L2_HalfPunc</ability>
      <abilityName>全半角检查</abilityName>
      <candidateList>
        <item>－</item>
      </candidateList>
      <explain>文本全半角错误。</explain>
      <paraID>5929C087</paraID>
      <start>5</start>
      <end>6</end>
      <status>unmodified</status>
      <modifiedWord/>
      <trackRevisions>false</trackRevisions>
    </reviewItem>
    <reviewItem>
      <errorID>fb10c27e-65d7-4b31-babd-17e0a6fe3209</errorID>
      <errorWord>-</errorWord>
      <group>L1_Format</group>
      <groupName>格式问题</groupName>
      <ability>L2_HalfPunc</ability>
      <abilityName>全半角检查</abilityName>
      <candidateList>
        <item>－</item>
      </candidateList>
      <explain>文本全半角错误。</explain>
      <paraID>67188A69</paraID>
      <start>5</start>
      <end>6</end>
      <status>unmodified</status>
      <modifiedWord/>
      <trackRevisions>false</trackRevisions>
    </reviewItem>
    <reviewItem>
      <errorID>c3467eb8-1e7a-4ad8-a5ce-7f63bd08c94a</errorID>
      <errorWord>-</errorWord>
      <group>L1_Format</group>
      <groupName>格式问题</groupName>
      <ability>L2_HalfPunc</ability>
      <abilityName>全半角检查</abilityName>
      <candidateList>
        <item>－</item>
      </candidateList>
      <explain>文本全半角错误。</explain>
      <paraID> 8C94A15</paraID>
      <start>5</start>
      <end>6</end>
      <status>unmodified</status>
      <modifiedWord/>
      <trackRevisions>false</trackRevisions>
    </reviewItem>
    <reviewItem>
      <errorID>adedc4a6-7c38-40a5-b2c5-1ef94029ac9c</errorID>
      <errorWord>-</errorWord>
      <group>L1_Format</group>
      <groupName>格式问题</groupName>
      <ability>L2_HalfPunc</ability>
      <abilityName>全半角检查</abilityName>
      <candidateList>
        <item>－</item>
      </candidateList>
      <explain>文本全半角错误。</explain>
      <paraID>7B49CC32</paraID>
      <start>5</start>
      <end>6</end>
      <status>unmodified</status>
      <modifiedWord/>
      <trackRevisions>false</trackRevisions>
    </reviewItem>
    <reviewItem>
      <errorID>af47f800-463d-4238-b383-7ba09d8b172e</errorID>
      <errorWord>宾栏</errorWord>
      <group>L1_Word</group>
      <groupName>字词问题</groupName>
      <ability>L2_Typo</ability>
      <abilityName>字词错误</abilityName>
      <candidateList>
        <item>边栏</item>
      </candidateList>
      <explain/>
      <paraID>60F14A13</paraID>
      <start>40</start>
      <end>42</end>
      <status>unmodified</status>
      <modifiedWord/>
      <trackRevisions>false</trackRevisions>
    </reviewItem>
    <reviewItem>
      <errorID>c07f1985-4b89-4da2-ac0a-3b8e2b5f11a5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3E45282A</paraID>
      <start>37</start>
      <end>39</end>
      <status>unmodified</status>
      <modifiedWord/>
      <trackRevisions>false</trackRevisions>
    </reviewItem>
    <reviewItem>
      <errorID>ee34aaa7-73a5-4c08-8373-09d325497a02</errorID>
      <errorWord>数据采购</errorWord>
      <group>L1_Knowledge</group>
      <groupName>知识性问题</groupName>
      <ability>L2_Term</ability>
      <abilityName>专业术语</abilityName>
      <candidateList>
        <item>数据采集</item>
      </candidateList>
      <explain/>
      <paraID>21A975AB</paraID>
      <start>3</start>
      <end>7</end>
      <status>unmodified</status>
      <modifiedWord/>
      <trackRevisions>false</trackRevisions>
    </reviewItem>
    <reviewItem>
      <errorID>dedf6775-c5c8-4271-86d2-2a944ca71b5c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40AB2690</paraID>
      <start>0</start>
      <end>2</end>
      <status>unmodified</status>
      <modifiedWord/>
      <trackRevisions>false</trackRevisions>
    </reviewItem>
    <reviewItem>
      <errorID>11c62e5f-8fa8-4e10-9526-d796752b09be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23E2120A</paraID>
      <start>0</start>
      <end>2</end>
      <status>unmodified</status>
      <modifiedWord/>
      <trackRevisions>false</trackRevisions>
    </reviewItem>
    <reviewItem>
      <errorID>193814d3-412c-4852-8ba5-282bd867295f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289CC732</paraID>
      <start>0</start>
      <end>2</end>
      <status>unmodified</status>
      <modifiedWord/>
      <trackRevisions>false</trackRevisions>
    </reviewItem>
    <reviewItem>
      <errorID>70ad5da1-c9c1-4823-be88-442252c66c56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2D6421DE</paraID>
      <start>0</start>
      <end>2</end>
      <status>unmodified</status>
      <modifiedWord/>
      <trackRevisions>false</trackRevisions>
    </reviewItem>
    <reviewItem>
      <errorID>7924ffc9-f06f-43f0-8cb5-85b6abbf91aa</errorID>
      <errorWord>程</errorWord>
      <group>L1_Word</group>
      <groupName>字词问题</groupName>
      <ability>L2_Typo</ability>
      <abilityName>字词错误</abilityName>
      <candidateList>
        <item>程中</item>
      </candidateList>
      <explain/>
      <paraID>73469AC8</paraID>
      <start>103</start>
      <end>104</end>
      <status>unmodified</status>
      <modifiedWord/>
      <trackRevisions>false</trackRevisions>
    </reviewItem>
    <reviewItem>
      <errorID>1448cd15-3445-4a4a-8467-b228cd307a2a</errorID>
      <errorWord>数据元</errorWord>
      <group>L1_Word</group>
      <groupName>字词问题</groupName>
      <ability>L2_Typo</ability>
      <abilityName>字词错误</abilityName>
      <candidateList>
        <item>数据库</item>
      </candidateList>
      <explain/>
      <paraID>73469AC8</paraID>
      <start>123</start>
      <end>126</end>
      <status>unmodified</status>
      <modifiedWord/>
      <trackRevisions>false</trackRevisions>
    </reviewItem>
    <reviewItem>
      <errorID>0ceef7e4-e63f-46f0-83e0-9542bc6ca569</errorID>
      <errorWord>一网通办</errorWord>
      <group>L1_Political</group>
      <groupName>政治性问题</groupName>
      <ability>L2_Keyword</ability>
      <abilityName>固定表述</abilityName>
      <candidateList>
        <item>“一网通办”</item>
      </candidateList>
      <explain>注意检查当前固定表述标点是否使用规范。</explain>
      <paraID>3B1054C3</paraID>
      <start>16</start>
      <end>20</end>
      <status>unmodified</status>
      <modifiedWord/>
      <trackRevisions>false</trackRevisions>
    </reviewItem>
    <reviewItem>
      <errorID>01ec909a-e5c0-4cc7-b110-f0707959d04b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55FD9B82</paraID>
      <start>0</start>
      <end>2</end>
      <status>unmodified</status>
      <modifiedWord/>
      <trackRevisions>false</trackRevisions>
    </reviewItem>
    <reviewItem>
      <errorID>98242c99-e142-47f6-ad65-2c2ff9b21dfc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7C6D880C</paraID>
      <start>0</start>
      <end>2</end>
      <status>unmodified</status>
      <modifiedWord/>
      <trackRevisions>false</trackRevisions>
    </reviewItem>
    <reviewItem>
      <errorID>0fb097b4-1aa5-4c1d-b084-559def18b63a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4C43625C</paraID>
      <start>0</start>
      <end>2</end>
      <status>unmodified</status>
      <modifiedWord/>
      <trackRevisions>false</trackRevisions>
    </reviewItem>
    <reviewItem>
      <errorID>0a030a34-e75d-448c-83b0-5066c0440d65</errorID>
      <errorWord>上述的</errorWord>
      <group>L1_Word</group>
      <groupName>字词问题</groupName>
      <ability>L2_Typo</ability>
      <abilityName>字词错误</abilityName>
      <candidateList>
        <item>上述</item>
      </candidateList>
      <explain>〈形〉属性词。上面所说的：～各条，望切实执行。</explain>
      <paraID>4C43625C</paraID>
      <start>32</start>
      <end>35</end>
      <status>unmodified</status>
      <modifiedWord/>
      <trackRevisions>false</trackRevisions>
    </reviewItem>
    <reviewItem>
      <errorID>bd750224-b34f-4f96-bd57-1c31d5386c8d</errorID>
      <errorWord>进行实施</errorWord>
      <group>L1_Word</group>
      <groupName>字词问题</groupName>
      <ability>L2_Typo</ability>
      <abilityName>字词错误</abilityName>
      <candidateList>
        <item>实施</item>
      </candidateList>
      <explain>〈动〉实行（法令、政策等）：付诸～｜～细则｜～新的办法。</explain>
      <paraID>7D9C335E</paraID>
      <start>42</start>
      <end>46</end>
      <status>unmodified</status>
      <modifiedWord/>
      <trackRevisions>false</trackRevisions>
    </reviewItem>
    <reviewItem>
      <errorID>b53169bc-e1d3-43b3-85d7-0da93c6f3892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6B3BC86B</paraID>
      <start>0</start>
      <end>2</end>
      <status>unmodified</status>
      <modifiedWord/>
      <trackRevisions>false</trackRevisions>
    </reviewItem>
    <reviewItem>
      <errorID>5af6c3db-e2cc-4f43-af14-9e6037d07b3b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65F40401</paraID>
      <start>0</start>
      <end>2</end>
      <status>unmodified</status>
      <modifiedWord/>
      <trackRevisions>false</trackRevisions>
    </reviewItem>
    <reviewItem>
      <errorID>f36b9d27-86a7-4452-b436-e62e7992e962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1849BA42</paraID>
      <start>0</start>
      <end>2</end>
      <status>unmodified</status>
      <modifiedWord/>
      <trackRevisions>false</trackRevisions>
    </reviewItem>
    <reviewItem>
      <errorID>d95031e9-25ff-48c1-bbaf-0f41a4d3d059</errorID>
      <errorWord>响应时</errorWord>
      <group>L1_Word</group>
      <groupName>字词问题</groupName>
      <ability>L2_Typo</ability>
      <abilityName>字词错误</abilityName>
      <candidateList>
        <item>响应</item>
      </candidateList>
      <explain>〈动〉回声相应，比喻用言语行动表示赞同、支持某种号召或倡议：～号召。</explain>
      <paraID>1849BA42</paraID>
      <start>24</start>
      <end>27</end>
      <status>unmodified</status>
      <modifiedWord/>
      <trackRevisions>false</trackRevisions>
    </reviewItem>
    <reviewItem>
      <errorID>b8acb631-3cd1-4ded-b749-52c63764c782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20235E13</paraID>
      <start>0</start>
      <end>2</end>
      <status>unmodified</status>
      <modifiedWord/>
      <trackRevisions>false</trackRevisions>
    </reviewItem>
    <reviewItem>
      <errorID>9c4384bb-73d3-44be-ab7c-f6e0ffb6b9f4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672B144B</paraID>
      <start>0</start>
      <end>2</end>
      <status>unmodified</status>
      <modifiedWord/>
      <trackRevisions>false</trackRevisions>
    </reviewItem>
    <reviewItem>
      <errorID>7cecf5c4-af09-46cd-abf6-5aff24bf47ec</errorID>
      <errorWord>受</errorWord>
      <group>L1_Word</group>
      <groupName>字词问题</groupName>
      <ability>L2_Typo</ability>
      <abilityName>字词错误</abilityName>
      <candidateList>
        <item>受到</item>
      </candidateList>
      <explain/>
      <paraID>679D572A</paraID>
      <start>25</start>
      <end>26</end>
      <status>unmodified</status>
      <modifiedWord/>
      <trackRevisions>false</trackRevisions>
    </reviewItem>
    <reviewItem>
      <errorID>bb4b8679-ff57-4ffd-8b12-979a54fc0ce5</errorID>
      <errorWord>受</errorWord>
      <group>L1_Word</group>
      <groupName>字词问题</groupName>
      <ability>L2_Typo</ability>
      <abilityName>字词错误</abilityName>
      <candidateList>
        <item>受到</item>
      </candidateList>
      <explain/>
      <paraID>5018B0E5</paraID>
      <start>34</start>
      <end>35</end>
      <status>unmodified</status>
      <modifiedWord/>
      <trackRevisions>false</trackRevisions>
    </reviewItem>
    <reviewItem>
      <errorID>9d50b3f6-dde4-4bae-b1a8-29098400f845</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5CBFB58B</paraID>
      <start>122</start>
      <end>124</end>
      <status>unmodified</status>
      <modifiedWord/>
      <trackRevisions>false</trackRevisions>
    </reviewItem>
    <reviewItem>
      <errorID>a3319a6b-357d-45f0-b834-fa969186a9e7</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33B382B2</paraID>
      <start>22</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91B27D-9F06-4A7C-A24E-ED7E0216707A}">
  <ds:schemaRefs/>
</ds:datastoreItem>
</file>

<file path=customXml/itemProps3.xml><?xml version="1.0" encoding="utf-8"?>
<ds:datastoreItem xmlns:ds="http://schemas.openxmlformats.org/officeDocument/2006/customXml" ds:itemID="{a258b5ae-e864-46e5-ba39-a8c304d0d2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1567</Words>
  <Characters>1581</Characters>
  <Lines>309</Lines>
  <Paragraphs>87</Paragraphs>
  <TotalTime>14</TotalTime>
  <ScaleCrop>false</ScaleCrop>
  <LinksUpToDate>false</LinksUpToDate>
  <CharactersWithSpaces>1587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2025-09-05T15:00:00Z</dcterms:created>
  <dc:creator>hp</dc:creator>
  <cp:lastModifiedBy>集采</cp:lastModifiedBy>
  <cp:lastPrinted>2026-01-14T06:33:00Z</cp:lastPrinted>
  <dcterms:modified xsi:type="dcterms:W3CDTF">2026-01-20T02:11:54Z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eyJoZGlkIjoiYzcwNTllNDZjMjMzNDFiNjMxNTZlZjRlOGI4Y2M0ZjQiLCJ1c2VySWQiOiIyNDA1NzY1MTUifQ==</vt:lpwstr>
  </property>
  <property fmtid="{D5CDD505-2E9C-101B-9397-08002B2CF9AE}" pid="4" name="ICV">
    <vt:lpwstr>3D13D90DDAE04FDB8F61DC4919E362D2_13</vt:lpwstr>
  </property>
</Properties>
</file>