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hint="eastAsia" w:ascii="宋体" w:hAnsi="宋体" w:eastAsia="宋体" w:cs="宋体"/>
                <w:b/>
                <w:bCs/>
                <w:sz w:val="52"/>
                <w:szCs w:val="52"/>
                <w:lang w:val="en-US"/>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2024年度</w:t>
              <w:br w:type="textWrapping"/>
              <w:t/>
            </w:r>
            <w:r>
              <w:rPr>
                <w:b w:val="on"/>
                <w:rFonts w:ascii="宋体" w:eastAsia="宋体" w:hAnsi="宋体" w:cs="宋体"/>
                <w:sz w:val="52"/>
                <w:u w:color="auto"/>
              </w:rPr>
              <w:t>江阴市旅游事业发展服务中心</w:t>
            </w:r>
            <w:r>
              <w:rPr>
                <w:b w:val="on"/>
                <w:rFonts w:ascii="宋体" w:eastAsia="宋体" w:hAnsi="宋体" w:cs="宋体"/>
                <w:sz w:val="52"/>
                <w:u w:color="auto"/>
              </w:rPr>
              <w:t xml:space="preserve"></w:t>
              <w:br w:type="textWrapping"/>
              <w:t>单位决算公开</w:t>
            </w:r>
            <w:r>
              <w:rPr>
                <w:b w:val="on"/>
                <w:rFonts w:ascii="宋体" w:eastAsia="宋体" w:hAnsi="宋体" w:cs="宋体"/>
                <w:sz w:val="52"/>
                <w:u w:color="auto"/>
              </w:rPr>
              <w:t/>
            </w:r>
            <w:r>
              <w:rPr>
                <w:b w:val="on"/>
                <w:rFonts w:ascii="宋体" w:eastAsia="宋体" w:hAnsi="宋体" w:cs="宋体"/>
                <w:sz w:val="52"/>
                <w:u w:color="auto"/>
              </w:rPr>
              <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w:t>
      </w:r>
      <w:r>
        <w:rPr>
          <w:rFonts w:hint="eastAsia" w:ascii="宋体" w:hAnsi="宋体" w:eastAsia="宋体" w:cs="宋体"/>
          <w:b/>
          <w:bCs/>
        </w:rPr>
        <w:t>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(一)贯彻执行国家和省、市关于旅游业发展的法律法规和政策，贯彻落实本市旅游业发展规划、计划有关工作。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(二)负责本市旅游投诉统一受理工作。依法依规调解旅游消费纠纷，维护旅游者和旅游经营者的合法权益。</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(三)承担本市旅游公共服务工作。建设巩固服务阵地，培养专业化人才队伍，提升旅游公共服务质效。</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(四)负责本市旅游志愿服务组织的指导与协调。推进旅游志愿者队伍健康发展，加强对公众旅游安全与文明旅游的宣传引导。</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(五)协助承担本市旅游宣传推广工作。参与旅游促销、节庆或会展活动，扩大旅游形象宣传，促进旅游市场推广。</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(六)协助监督旅游市场主体的经营行为。</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(七)落实本单位安全生产主体责任。</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(八)完成市文体广电和旅游局交办的其他任务。</w:t>
      </w:r>
      <w:r>
        <w:rPr>
          <w:rFonts w:ascii="仿宋" w:eastAsia="仿宋" w:hAnsi="仿宋" w:cs="仿宋"/>
          <w:u w:color="auto"/>
        </w:rPr>
        <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本单位无内设机构。</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本单位无下属单位。</w:t>
      </w:r>
      <w:r>
        <w:rPr>
          <w:rFonts w:ascii="仿宋" w:eastAsia="仿宋" w:hAnsi="仿宋" w:cs="仿宋"/>
          <w:u w:color="auto"/>
        </w:rPr>
        <w:t/>
      </w:r>
      <w:r>
        <w:rPr>
          <w:rFonts w:ascii="仿宋" w:eastAsia="仿宋" w:hAnsi="仿宋" w:cs="仿宋"/>
          <w:u w:color="auto"/>
        </w:rPr>
        <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2024年，江阴市旅游事业发展服务中心以全局发展决策部署为引领，聚焦高质量考核指标和本单位目标任务书，守正推进条线稳步发展、创新深耕主责主业，推动各项工作取得新进展。</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旅游投诉处理工作：2024年，中心共受理旅游诉求件78起，其中12345诉求件43起，电话诉求10起，电话咨询21起，上门诉求4起，诉求内容呈现多元化、复杂化、诉求期望值过高等特点，个别旅行社仍存在预充值、储值卡等问题。中心工作人员思想高度重视，过程依法依规，反馈及时到位，达成按时办结率100％，努力确保满意率100％，并获市级平台发文表扬1次。</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旅游志愿服务活动：注重队伍建设：优化团队年龄结构，中心组织市旅游志愿者协会2024年公开招新吸纳40余名中坚力量；完善服务培训制度，针对新招募志愿者及团队骨干组织2次规模化培训，讲解团队示范讲解及考核2次。注重品牌培育：创新推出“志在旅游—文明宣讲”服务项目，依托“旅游服务进社区”工作模式切实提高居民防诈意识，提升文明旅游关注度。注重作用发挥：顺应城市发展及旅游热点赋能城市文旅高质量发展，于法定节假日驻点市级重要涉旅场所，开展文明引导、监督；义务讲解；文明宣讲等志愿服务活动18次，全程参与第十九届中国徐霞客国际旅游节开幕式，配合城南社区活动提供义务讲解等，全年参与活动约420人次，服务游客超12万余人次；带动协会外塑形象参与评优宣传，助推“志在旅游”品牌影响力进一步扩大，协会获评“2023年度江阴市最佳志愿服务组织”，志愿者贾晨霄被评为“2023年度江阴市十佳志愿者”，志愿服务活动获市级媒体采访报道9次、登全局网站及微信推文7次。</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公益宣讲进社区”行动：基本构成“安全文明去旅行”全域宣传环境：全年指导村、社区利用新媒体平台发布出游提醒9次；走进南京理工大学江阴校区开展“旅游服务进高校”活动1次；结对花园、天鹤、浮桥、澄康路、要塞、立新、高新区金山、金童、双牌等社区及璜土村，开展“安全文明去旅行”主题公益宣传进社区活动18次，对走出去的市民宣讲文明旅游，对走进来的游客推荐江阴游程，发放《让文明与旅游同行》、《文明旅游出行指南》等宣传资料1200余份。</w:t>
      </w:r>
      <w:r>
        <w:rPr>
          <w:rFonts w:ascii="仿宋" w:eastAsia="仿宋" w:hAnsi="仿宋" w:cs="仿宋"/>
          <w:u w:color="auto"/>
        </w:rPr>
        <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江阴市旅游事业发展服务中心</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u/>
        </w:rPr>
        <w:t>单位</w:t>
      </w:r>
      <w:r>
        <w:rPr>
          <w:b w:val="on"/>
          <w:rFonts w:ascii="宋体" w:eastAsia="宋体" w:hAnsi="宋体" w:cs="宋体"/>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color w:val="000000"/>
                <w:lang w:eastAsia="ar-SA"/>
              </w:rPr>
              <w:t>江阴市旅游事业发展服务中心</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hint="eastAsia" w:ascii="仿宋" w:hAnsi="仿宋" w:eastAsia="仿宋" w:cs="仿宋"/>
                <w:color w:val="000000"/>
                <w:lang w:eastAsia="ar-SA"/>
                <w:u/>
              </w:rPr>
              <w:t/>
            </w:r>
            <w:r>
              <w:rPr>
                <w:color w:val="000000"/>
                <w:rFonts w:ascii="仿宋" w:eastAsia="仿宋" w:hAnsi="仿宋" w:cs="仿宋"/>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319.75</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229.81</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32.25</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57.69</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color w:val="000000"/>
                <w:lang w:eastAsia="ar-SA"/>
              </w:rPr>
              <w:t/>
            </w: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319.75</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319.75</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3.22</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3.22</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322.97</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322.97</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w:t>
      </w:r>
      <w:r>
        <w:rPr>
          <w:rFonts w:hint="eastAsia" w:ascii="仿宋" w:hAnsi="仿宋" w:eastAsia="仿宋" w:cs="仿宋"/>
          <w:lang w:val="en-US"/>
        </w:rPr>
        <w:t/>
      </w:r>
      <w:r>
        <w:rPr>
          <w:rFonts w:hint="eastAsia" w:ascii="仿宋" w:hAnsi="仿宋" w:eastAsia="仿宋" w:cs="仿宋"/>
          <w:color w:val="000000"/>
          <w:lang w:val="en-US"/>
        </w:rPr>
        <w:t>本表金额单位转换时可能存在尾数误差。</w:t>
      </w:r>
      <w:r>
        <w:rPr>
          <w:rFonts w:hint="eastAsia" w:ascii="仿宋" w:hAnsi="仿宋" w:eastAsia="仿宋" w:cs="仿宋"/>
          <w:lang w:val="en-US"/>
        </w:rPr>
        <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江阴市旅游事业发展服务中心</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319.75</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319.75</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文化旅游体育与传媒支出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229.81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229.81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文化和旅游</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229.81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229.81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2070114</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文化和旅游管理事务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229.81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229.81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32.25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32.25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23.71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23.71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15.81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15.81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7.90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7.90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8.54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8.54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2089999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8.54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8.54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57.69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57.69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57.69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57.69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18.78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18.78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10.78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10.78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28.14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28.14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江阴市旅游事业发展服务中心</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319.75</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319.75</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r>
              <w:rPr>
                <w:rFonts w:hint="eastAsia" w:ascii="仿宋" w:hAnsi="仿宋" w:eastAsia="仿宋" w:cs="仿宋"/>
                <w:sz w:val="22"/>
                <w:szCs w:val="22"/>
              </w:rPr>
              <w:t/>
            </w: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r>
              <w:rPr>
                <w:rFonts w:hint="eastAsia" w:ascii="仿宋" w:hAnsi="仿宋" w:eastAsia="仿宋" w:cs="仿宋"/>
                <w:sz w:val="22"/>
                <w:szCs w:val="22"/>
              </w:rPr>
              <w:t/>
            </w: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r>
              <w:rPr>
                <w:rFonts w:hint="eastAsia" w:ascii="仿宋" w:hAnsi="仿宋" w:eastAsia="仿宋" w:cs="仿宋"/>
                <w:sz w:val="22"/>
                <w:szCs w:val="22"/>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文化旅游体育与传媒支出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229.81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229.81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文化和旅游</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229.81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229.81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2070114</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文化和旅游管理事务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229.81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229.81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32.25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32.25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23.71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23.71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15.81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15.81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7.90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7.90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8.54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8.54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2089999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8.54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8.54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57.69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57.69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57.69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57.69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18.78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18.78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10.78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10.78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28.14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28.14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江阴市旅游事业发展服务中心</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319.75</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229.81</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229.81</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32.25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32.25</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57.69</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57.69</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319.75</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319.75</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319.75</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3.22</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3.22</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3.22</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3.22</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322.97</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322.97</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322.97</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r>
              <w:rPr>
                <w:rFonts w:hint="eastAsia" w:ascii="仿宋" w:hAnsi="仿宋" w:eastAsia="仿宋" w:cs="仿宋"/>
                <w:sz w:val="22"/>
                <w:szCs w:val="22"/>
              </w:rPr>
              <w:t/>
            </w: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江阴市旅游事业发展服务中心</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319.75</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319.75</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229.81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229.81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文化和旅游</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229.81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229.81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2070114</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文化和旅游管理事务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229.81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229.81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32.25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32.25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23.71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23.71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15.81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15.81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7.90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7.90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8.54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8.54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8.54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8.54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57.69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57.69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57.69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57.69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18.78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18.78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10.78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10.78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28.14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28.14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江阴市旅游事业发展服务中心</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319.75</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309.38</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10.37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309.06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309.06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34.85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34.85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44.42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44.42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117.28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117.28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60.40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60.40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15.81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15.81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7.90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7.90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7.37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7.37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1.17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18.78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18.78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1.08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10.38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10.37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4.39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4.39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0.02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0.02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0.48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0.48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1.54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1.54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0.25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0.25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3.70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3.70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0.32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0.32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0.32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0.32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江阴市旅游事业发展服务中心</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319.75</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319.75</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229.81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229.81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文化和旅游</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229.81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229.81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2070114</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文化和旅游管理事务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229.81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229.81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32.25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32.25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23.71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23.71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15.81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15.81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7.90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7.90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8.54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8.54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8.54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8.54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57.69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57.69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57.69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57.69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18.78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18.78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10.78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10.78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28.14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28.14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江阴市旅游事业发展服务中心</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319.75</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309.38</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10.37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309.06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309.06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34.85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34.85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44.42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44.42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117.28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117.28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60.40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60.40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15.81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15.81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7.90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7.90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7.37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7.37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1.17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18.78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18.78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1.08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10.38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10.37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4.39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4.39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0.02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0.02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0.48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0.48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1.54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1.54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0.25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0.25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3.70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3.70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0.32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0.32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0.32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0.32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bookmarkStart w:id="0" w:name="_GoBack"/>
            <w:bookmarkEnd w:id="0"/>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江阴市旅游事业发展服务中心</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hint="eastAsia" w:ascii="仿宋" w:hAnsi="仿宋" w:eastAsia="仿宋" w:cs="仿宋"/>
                <w:u/>
              </w:rPr>
              <w:t/>
            </w:r>
            <w:r>
              <w:rPr>
                <w:rFonts w:ascii="仿宋" w:eastAsia="仿宋" w:hAnsi="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0.48</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0.48</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1</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70</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u/>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江阴市旅游事业发展服务中心</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r>
        <w:rPr>
          <w:rFonts w:hint="eastAsia" w:ascii="仿宋" w:hAnsi="仿宋" w:eastAsia="仿宋" w:cs="仿宋"/>
          <w:lang w:val="en-US"/>
        </w:rPr>
        <w:t/>
      </w:r>
      <w:r>
        <w:rPr>
          <w:rFonts w:hint="eastAsia" w:ascii="仿宋" w:hAnsi="仿宋" w:eastAsia="仿宋" w:cs="仿宋"/>
          <w:lang w:val="en-US"/>
        </w:rPr>
        <w:t/>
      </w:r>
    </w:p>
    <w:p w14:paraId="3B1CEB3B">
      <w:pPr>
        <w:spacing w:before="25"/>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无政府性基金预算收入支出决算，故本表为空。</w:t>
      </w:r>
      <w:r>
        <w:rPr>
          <w:rFonts w:ascii="仿宋" w:eastAsia="仿宋" w:hAnsi="仿宋" w:cs="仿宋"/>
          <w:u w:color="auto"/>
        </w:rPr>
        <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江阴市旅游事业发展服务中心</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r>
        <w:rPr>
          <w:rFonts w:hint="eastAsia" w:ascii="仿宋" w:hAnsi="仿宋" w:eastAsia="仿宋" w:cs="仿宋"/>
          <w:lang w:val="en-US"/>
        </w:rPr>
        <w:t/>
      </w:r>
      <w:r>
        <w:rPr>
          <w:rFonts w:hint="eastAsia" w:ascii="仿宋" w:hAnsi="仿宋" w:eastAsia="仿宋" w:cs="仿宋"/>
          <w:lang w:val="en-US"/>
        </w:rPr>
        <w:t/>
      </w:r>
    </w:p>
    <w:p w14:paraId="1779740A">
      <w:pPr>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w:t>
      </w:r>
      <w:r>
        <w:rPr>
          <w:rFonts w:hint="eastAsia" w:ascii="仿宋" w:hAnsi="仿宋" w:eastAsia="仿宋" w:cs="仿宋"/>
        </w:rPr>
        <w:t>国有资本经营预算支出</w:t>
      </w:r>
      <w:r>
        <w:rPr>
          <w:rFonts w:hint="eastAsia" w:ascii="仿宋" w:hAnsi="仿宋" w:eastAsia="仿宋" w:cs="仿宋"/>
          <w:lang w:val="en-US"/>
          <w:u/>
        </w:rPr>
        <w:t>决算，故本表为空。</w:t>
      </w:r>
      <w:r>
        <w:rPr>
          <w:rFonts w:ascii="仿宋" w:eastAsia="仿宋" w:hAnsi="仿宋" w:cs="仿宋"/>
          <w:u w:color="auto"/>
        </w:rPr>
        <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江阴市旅游事业发展服务中心</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lang w:val="en-US"/>
        </w:rPr>
        <w:t/>
      </w:r>
      <w:r>
        <w:rPr>
          <w:rFonts w:hint="eastAsia" w:ascii="仿宋" w:hAnsi="仿宋" w:eastAsia="仿宋" w:cs="仿宋"/>
          <w:lang w:val="en-US"/>
        </w:rPr>
        <w:t/>
      </w:r>
    </w:p>
    <w:p w14:paraId="20CA0BD9">
      <w:pPr>
        <w:tabs>
          <w:tab w:val="left" w:pos="440"/>
        </w:tabs>
        <w:spacing w:before="25"/>
        <w:ind w:left="440" w:leftChars="200"/>
        <w:jc w:val="both"/>
        <w:rPr>
          <w:rFonts w:hint="eastAsia" w:ascii="仿宋" w:hAnsi="仿宋" w:eastAsia="仿宋" w:cs="仿宋"/>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u/>
        </w:rPr>
        <w:t>故本表为空。</w:t>
      </w:r>
      <w:r>
        <w:rPr>
          <w:rFonts w:ascii="仿宋" w:eastAsia="仿宋" w:hAnsi="仿宋" w:cs="仿宋"/>
          <w:u w:color="auto"/>
        </w:rPr>
        <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江阴市旅游事业发展服务中心</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u/>
        </w:rPr>
        <w:t>政府采购支出信息为单位纳入部门预算范围的各项政府采购支出情况。</w:t>
      </w:r>
      <w:r>
        <w:rPr>
          <w:rFonts w:ascii="仿宋" w:eastAsia="仿宋" w:hAnsi="仿宋" w:cs="仿宋"/>
          <w:u w:color="auto"/>
        </w:rPr>
        <w:t/>
      </w:r>
      <w:r>
        <w:rPr>
          <w:rFonts w:hint="eastAsia" w:ascii="仿宋" w:hAnsi="仿宋" w:eastAsia="仿宋" w:cs="仿宋"/>
          <w:lang w:val="en-US"/>
        </w:rPr>
        <w:t/>
      </w:r>
    </w:p>
    <w:p w14:paraId="2AF34E11">
      <w:pPr>
        <w:ind w:left="440" w:leftChars="200"/>
        <w:jc w:val="both"/>
        <w:rPr>
          <w:rFonts w:hint="eastAsia" w:ascii="仿宋" w:hAnsi="仿宋" w:eastAsia="仿宋" w:cs="仿宋"/>
          <w:lang w:val="en-US"/>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无政府采购支出决算</w:t>
      </w:r>
      <w:r>
        <w:rPr>
          <w:rFonts w:hint="eastAsia" w:ascii="仿宋" w:hAnsi="仿宋" w:eastAsia="仿宋" w:cs="仿宋"/>
          <w:lang w:val="en-US"/>
        </w:rPr>
        <w:t>，</w:t>
      </w:r>
      <w:r>
        <w:rPr>
          <w:rFonts w:hint="eastAsia" w:ascii="仿宋" w:hAnsi="仿宋" w:eastAsia="仿宋" w:cs="仿宋"/>
        </w:rPr>
        <w:t>故本表为空。</w:t>
      </w:r>
      <w:r>
        <w:rPr>
          <w:rFonts w:hint="eastAsia" w:ascii="仿宋" w:hAnsi="仿宋" w:eastAsia="仿宋" w:cs="仿宋"/>
          <w:lang w:val="en-US"/>
        </w:rPr>
        <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2024年度收入、支出决算总计322.97万元。与上年相比，收、支总计各增加144.22万元，增长80.68%。其中：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（一）收入决算总计322.97万元。包括：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1.本年收入决算合计319.75万元。与上年相比，增加144.25万元，增长82.19%，变动原因：一般公共预算财政拨款收入增加。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2.使用非财政拨款结余（含专用结余）0万元。与上年决算数相同。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3.年初结转和结余3.22万元。与上年相比，减少0.03万元，减少0.92%，变动原因：支付单位代扣的社保、个人所得税等。</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（二）支出决算总计322.97万元。包括：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1.本年支出决算合计319.75万元。与上年相比，增加144.22万元，增长82.16%，变动原因：文化旅游体育与传媒支出增加。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2.结余分配0万元。与上年决算数相同。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3.年末结转和结余3.22万元。结转和结余事项：历年结余。与上年决算数相同。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二、收入决算情况说明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收入决算合计319.75万元，其中：财政拨款收入319.75万元，占100%；上级补助收入0万元，占0%；财政专户管理教育收费0万元，占0%；事业收入（不含专户管理教育收费）0万元，占0%；经营收入0万元，占0%；附属单位上缴收入0万元，占0%；其他收入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4" name="Drawing 14" descr="Generated"/>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true"/>
                    </pic:cNvPicPr>
                  </pic:nvPicPr>
                  <pic:blipFill>
                    <a:blip r:embed="rId21"/>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2024年度本年支出决算合计319.75万元，其中：基本支出319.75万元，占100%；项目支出0万元，占0%；上缴上级支出0万元，占0%；经营支出0万元，占0%；对附属单位补助支出0万元，占0%。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5" name="Drawing 15" descr="Generated"/>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2024年度财政拨款收入、支出决算总计322.97万元。与上年相比，收、支总计各增加144.22万元，增长80.68%，变动原因：文化旅游体育与传媒支出、社会保障和就业支出、住房保障支出增加。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2024年度财政拨款支出决算319.75万元，占本年支出合计的100%。与2024年度财政拨款支出年初预算216.33万元相比，完成年初预算的147.81%。其中：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（一）文化旅游体育与传媒支出（类）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文化和旅游（款）文化和旅游管理事务（项）。年初预算149.36万元，支出决算229.81万元，完成年初预算的153.86%。决算数与年初预算数的差异原因：人员经费增加。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（二）社会保障和就业支出（类）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1.行政事业单位养老支出（款）机关事业单位基本养老保险缴费支出（项）。年初预算12.01万元，支出决算15.81万元，完成年初预算的131.64%。决算数与年初预算数的差异原因：人员增加。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2.行政事业单位养老支出（款）机关事业单位职业年金缴费支出（项）。年初预算6.01万元，支出决算7.9万元，完成年初预算的131.45%。决算数与年初预算数的差异原因：人员增加。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3.其他社会保障和就业支出（款）其他社会保障和就业支出（项）。年初预算5.48万元，支出决算8.54万元，完成年初预算的155.84%。决算数与年初预算数的差异原因：人员增加。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（三）住房保障支出（类）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1.住房改革支出（款）住房公积金（项）。年初预算13.73万元，支出决算18.78万元，完成年初预算的136.78%。决算数与年初预算数的差异原因：人员增加。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2.住房改革支出（款）提租补贴（项）。年初预算10.78万元，支出决算10.78万元，完成年初预算的100%。决算数与年初预算数相同。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3.住房改革支出（款）购房补贴（项）。年初预算18.96万元，支出决算28.14万元，完成年初预算的148.42%。决算数与年初预算数的差异原因：人员增加。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六、财政拨款基本支出决算情况说明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2024年度财政拨款基本支出决算319.75万元，其中：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（一）人员经费309.38万元。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主要包括：基本工资、津贴补贴、奖金、绩效工资、机关事业单位基本养老保险缴费、职业年金缴费、职工基本医疗保险缴费、其他社会保障缴费、住房公积金、医疗费、其他对个人和家庭的补助。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（二）公用经费10.37万元。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主要包括：办公费、差旅费、培训费、工会经费、其他交通费用、其他商品和服务支出。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七、一般公共预算支出决算情况说明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2024年度一般公共预算财政拨款支出决算319.75万元。与上年相比，增加144.22万元，增长82.16%，变动原因：文化旅游体育与传媒支出、社会保障和就业支出、住房保障支出增加。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八、一般公共预算基本支出决算情况说明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2024年度一般公共预算财政拨款基本支出决算319.75万元，其中：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（一）人员经费309.38万元。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主要包括：基本工资、津贴补贴、奖金、绩效工资、机关事业单位基本养老保险缴费、职业年金缴费、职工基本医疗保险缴费、其他社会保障缴费、住房公积金、医疗费、其他对个人和家庭的补助。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（二）公用经费10.37万元。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主要包括：办公费、差旅费、培训费、工会经费、其他交通费用、其他商品和服务支出。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九、财政拨款“三公”经费、会议费、培训费支出情况说明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（一）财政拨款“三公”经费支出总体情况说明。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2024年度财政拨款“三公”经费支出决算0万元（其中：一般公共预算支出0万元；政府性基金预算支出0万元；国有资本经营预算支出0万元）。与上年决算数相同。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（二）财政拨款“三公”经费支出具体情况说明。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（1）公务用车购置支出决算0万元。本年度使用财政拨款购置公务用车0辆。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公务接待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国内公务接待支出0万元，接待0批次，0人次；国（境）外公务接待支出0万元，接待0批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（三）财政拨款会议费支出决算情况说明。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个，参加会议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（四）财政拨款培训费支出决算情况说明。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培训费支出预算0.48万元（其中：一般公共预算支出0.48万元；政府性基金预算支出0万元；国有资本经营预算支出0万元），支出决算0.48万元（其中：一般公共预算支出0.48万元；政府性基金预算支出0万元；国有资本经营预算支出0万元），完成调整后预算的100%，决算数与预算数相同。2024年度全年组织培训1个，组织培训70人次，开支内容：旅游志愿者培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十、政府性基金预算财政拨款支出决算情况说明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2024年度政府性基金预算财政拨款支出决算0万元。与上年决算数相同。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十一、国有资本经营预算财政拨款支出决算情况说明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2024年度国有资本经营预算财政拨款支出决算0万元。与上年决算数相同。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十二、财政拨款机关运行经费支出决算情况说明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2024年度机关运行经费支出决算0万元（其中：一般公共预算支出0万元；政府性基金预算支出0万元；国有资本经营预算支出0万元）。与上年决算数相同。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十三、政府采购支出决算情况说明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2024年度政府采购支出总额0万元，其中：政府采购货物支出0万元、政府采购工程支出0万元、政府采购服务支出0万元。政府采购授予中小企业合同金额0万元，其中：授予小微企业合同金额0万元。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十四、国有资产占用情况说明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截至2024年12月31日，本单位共有车辆0辆，其中：副部(省)级及以上领导用车0辆、主要领导干部用车0辆、机要通信用车0辆、应急保障用车0辆、执法执勤用车0辆、特种专业技术用车0辆、离退休干部用车0辆、其他用车0辆；单价100万元（含）以上的设备0台（套）。</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十五、预算绩效评价工作开展情况</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2024年度，本单位共0个项目开展了财政重点绩效评价，涉及财政性资金合计0万元；本单位未开展单位整体支出财政重点绩效评价，涉及财政性资金0万元。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本单位共对上年度已实施完成的0个项目开展了绩效自评价，涉及财政性资金合计0万元；本单位共开展1项单位整体支出绩效自评价，涉及财政性资金合计319.75万元。</w:t>
      </w:r>
      <w:r>
        <w:rPr>
          <w:rFonts w:ascii="仿宋" w:eastAsia="仿宋" w:hAnsi="仿宋" w:cs="仿宋"/>
          <w:u w:color="auto"/>
        </w:rPr>
        <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一、财政拨款收入</w:t>
      </w:r>
      <w:r>
        <w:rPr>
          <w:b w:val="on"/>
          <w:rFonts w:ascii="仿宋" w:eastAsia="仿宋" w:hAnsi="仿宋" w:cs="仿宋"/>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二、上级补助收入</w:t>
      </w:r>
      <w:r>
        <w:rPr>
          <w:b w:val="on"/>
          <w:rFonts w:ascii="仿宋" w:eastAsia="仿宋" w:hAnsi="仿宋" w:cs="仿宋"/>
          <w:u w:color="auto"/>
        </w:rPr>
        <w:t>：</w:t>
      </w:r>
      <w:r>
        <w:rPr>
          <w:rFonts w:hint="eastAsia" w:ascii="仿宋" w:hAnsi="仿宋" w:eastAsia="仿宋" w:cs="仿宋"/>
        </w:rPr>
        <w:t>指事业单位从主管部门和上级单位取得的非财政补助收入。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三、财政专户管理教育收费</w:t>
      </w:r>
      <w:r>
        <w:rPr>
          <w:b w:val="on"/>
          <w:rFonts w:ascii="仿宋" w:eastAsia="仿宋" w:hAnsi="仿宋" w:cs="仿宋"/>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四、事业收入</w:t>
      </w:r>
      <w:r>
        <w:rPr>
          <w:b w:val="on"/>
          <w:rFonts w:ascii="仿宋" w:eastAsia="仿宋" w:hAnsi="仿宋" w:cs="仿宋"/>
          <w:u w:color="auto"/>
        </w:rPr>
        <w:t>：</w:t>
      </w:r>
      <w:r>
        <w:rPr>
          <w:rFonts w:hint="eastAsia" w:ascii="仿宋" w:hAnsi="仿宋" w:eastAsia="仿宋" w:cs="仿宋"/>
        </w:rPr>
        <w:t>指事业单位开展专业业务活动及其辅助活动取得的收入。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五、经营收入</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六、附属单位上缴收入</w:t>
      </w:r>
      <w:r>
        <w:rPr>
          <w:b w:val="on"/>
          <w:rFonts w:ascii="仿宋" w:eastAsia="仿宋" w:hAnsi="仿宋" w:cs="仿宋"/>
          <w:u w:color="auto"/>
        </w:rPr>
        <w:t>：</w:t>
      </w:r>
      <w:r>
        <w:rPr>
          <w:rFonts w:hint="eastAsia" w:ascii="仿宋" w:hAnsi="仿宋" w:eastAsia="仿宋" w:cs="仿宋"/>
        </w:rPr>
        <w:t>指事业单位附属独立核算单位按照有关规定上缴的收入。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七、其他收入</w:t>
      </w:r>
      <w:r>
        <w:rPr>
          <w:b w:val="on"/>
          <w:rFonts w:ascii="仿宋" w:eastAsia="仿宋" w:hAnsi="仿宋" w:cs="仿宋"/>
          <w:u w:color="auto"/>
        </w:rPr>
        <w:t>：</w:t>
      </w:r>
      <w:r>
        <w:rPr>
          <w:rFonts w:hint="eastAsia" w:ascii="仿宋" w:hAnsi="仿宋" w:eastAsia="仿宋" w:cs="仿宋"/>
        </w:rPr>
        <w:t>指单位取得的除上述“财政拨款收入”、 “上级补助收入”、“事业收入”、“经营收入”、“附属单位上缴收入”等以外的各项收入。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八、使用非财政拨款结余（含专用结余）</w:t>
      </w:r>
      <w:r>
        <w:rPr>
          <w:b w:val="on"/>
          <w:rFonts w:ascii="仿宋" w:eastAsia="仿宋" w:hAnsi="仿宋" w:cs="仿宋"/>
          <w:u w:color="auto"/>
        </w:rPr>
        <w:t>：</w:t>
      </w:r>
      <w:r>
        <w:rPr>
          <w:rFonts w:hint="eastAsia" w:ascii="仿宋" w:hAnsi="仿宋" w:eastAsia="仿宋" w:cs="仿宋"/>
        </w:rPr>
        <w:t>指事业单位按照预算管理要求使用非财政拨款结余（含专用结余）弥补当年收支差额的数额。</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九、年初结转和结余</w:t>
      </w:r>
      <w:r>
        <w:rPr>
          <w:b w:val="on"/>
          <w:rFonts w:ascii="仿宋" w:eastAsia="仿宋" w:hAnsi="仿宋" w:cs="仿宋"/>
          <w:u w:color="auto"/>
        </w:rPr>
        <w:t>：</w:t>
      </w:r>
      <w:r>
        <w:rPr>
          <w:rFonts w:hint="eastAsia" w:ascii="仿宋" w:hAnsi="仿宋" w:eastAsia="仿宋" w:cs="仿宋"/>
        </w:rPr>
        <w:t>指单位上年结转本年使用的基本支出结转、项目支出结转和结余、经营结余。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十、结余分配</w:t>
      </w:r>
      <w:r>
        <w:rPr>
          <w:b w:val="on"/>
          <w:rFonts w:ascii="仿宋" w:eastAsia="仿宋" w:hAnsi="仿宋" w:cs="仿宋"/>
          <w:u w:color="auto"/>
        </w:rPr>
        <w:t>：</w:t>
      </w:r>
      <w:r>
        <w:rPr>
          <w:rFonts w:hint="eastAsia" w:ascii="仿宋" w:hAnsi="仿宋" w:eastAsia="仿宋" w:cs="仿宋"/>
        </w:rPr>
        <w:t>指事业单位按规定缴纳的所得税以及从非财政拨款结余中提取各类结余的情况。</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十一、年末结转和结余资金</w:t>
      </w:r>
      <w:r>
        <w:rPr>
          <w:b w:val="on"/>
          <w:rFonts w:ascii="仿宋" w:eastAsia="仿宋" w:hAnsi="仿宋" w:cs="仿宋"/>
          <w:u w:color="auto"/>
        </w:rPr>
        <w:t>：</w:t>
      </w:r>
      <w:r>
        <w:rPr>
          <w:rFonts w:hint="eastAsia" w:ascii="仿宋" w:hAnsi="仿宋" w:eastAsia="仿宋" w:cs="仿宋"/>
        </w:rPr>
        <w:t>指单位结转下年的基本支出结转、项目支出结转和结余、经营结余。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十二、基本支出</w:t>
      </w:r>
      <w:r>
        <w:rPr>
          <w:b w:val="on"/>
          <w:rFonts w:ascii="仿宋" w:eastAsia="仿宋" w:hAnsi="仿宋" w:cs="仿宋"/>
          <w:u w:color="auto"/>
        </w:rPr>
        <w:t>：</w:t>
      </w:r>
      <w:r>
        <w:rPr>
          <w:rFonts w:hint="eastAsia" w:ascii="仿宋" w:hAnsi="仿宋" w:eastAsia="仿宋" w:cs="仿宋"/>
        </w:rPr>
        <w:t>指为保障机构正常运转、完成日常工作任务所发生的支出，包括人员经费和公用经费。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十三、项目支出</w:t>
      </w:r>
      <w:r>
        <w:rPr>
          <w:b w:val="on"/>
          <w:rFonts w:ascii="仿宋" w:eastAsia="仿宋" w:hAnsi="仿宋" w:cs="仿宋"/>
          <w:u w:color="auto"/>
        </w:rPr>
        <w:t>：</w:t>
      </w:r>
      <w:r>
        <w:rPr>
          <w:rFonts w:hint="eastAsia" w:ascii="仿宋" w:hAnsi="仿宋" w:eastAsia="仿宋" w:cs="仿宋"/>
        </w:rPr>
        <w:t>指在为完成特定的工作任务和事业发展目标所发生的支出。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十四、上缴上级支出</w:t>
      </w:r>
      <w:r>
        <w:rPr>
          <w:b w:val="on"/>
          <w:rFonts w:ascii="仿宋" w:eastAsia="仿宋" w:hAnsi="仿宋" w:cs="仿宋"/>
          <w:u w:color="auto"/>
        </w:rPr>
        <w:t>：</w:t>
      </w:r>
      <w:r>
        <w:rPr>
          <w:rFonts w:hint="eastAsia" w:ascii="仿宋" w:hAnsi="仿宋" w:eastAsia="仿宋" w:cs="仿宋"/>
        </w:rPr>
        <w:t>指事业单位按照财政部门和主管部门的规定上缴上级单位的支出。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十五、经营支出</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十六、对附属单位补助支出</w:t>
      </w:r>
      <w:r>
        <w:rPr>
          <w:b w:val="on"/>
          <w:rFonts w:ascii="仿宋" w:eastAsia="仿宋" w:hAnsi="仿宋" w:cs="仿宋"/>
          <w:u w:color="auto"/>
        </w:rPr>
        <w:t>：</w:t>
      </w:r>
      <w:r>
        <w:rPr>
          <w:rFonts w:hint="eastAsia" w:ascii="仿宋" w:hAnsi="仿宋" w:eastAsia="仿宋" w:cs="仿宋"/>
        </w:rPr>
        <w:t>指事业单位用财政拨款收入之外的收入对附属单位补助发生的支出。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十七、“三公”经费</w:t>
      </w:r>
      <w:r>
        <w:rPr>
          <w:b w:val="on"/>
          <w:rFonts w:ascii="仿宋" w:eastAsia="仿宋" w:hAnsi="仿宋" w:cs="仿宋"/>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十八、机关运行经费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十九、文化旅游体育与传媒支出(类)文化和旅游(款)文化和旅游管理事务(项)</w:t>
      </w:r>
      <w:r>
        <w:rPr>
          <w:b w:val="on"/>
          <w:rFonts w:ascii="仿宋" w:eastAsia="仿宋" w:hAnsi="仿宋" w:cs="仿宋"/>
          <w:u w:color="auto"/>
        </w:rPr>
        <w:t>：</w:t>
      </w:r>
      <w:r>
        <w:rPr>
          <w:rFonts w:hint="eastAsia" w:ascii="仿宋" w:hAnsi="仿宋" w:eastAsia="仿宋" w:cs="仿宋"/>
        </w:rPr>
        <w:t>反映文化和旅游管理事务支出。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二十、社会保障和就业支出(类)行政事业单位养老支出(款)机关事业单位基本养老保险缴费支出(项)</w:t>
      </w:r>
      <w:r>
        <w:rPr>
          <w:b w:val="on"/>
          <w:rFonts w:ascii="仿宋" w:eastAsia="仿宋" w:hAnsi="仿宋" w:cs="仿宋"/>
          <w:u w:color="auto"/>
        </w:rPr>
        <w:t>：</w:t>
      </w:r>
      <w:r>
        <w:rPr>
          <w:rFonts w:hint="eastAsia" w:ascii="仿宋" w:hAnsi="仿宋" w:eastAsia="仿宋" w:cs="仿宋"/>
        </w:rPr>
        <w:t>反映机关事业单位实施养老保险制度由单位缴纳的基本养老保险费支出。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二十一、社会保障和就业支出(类)行政事业单位养老支出(款)机关事业单位职业年金缴费支出(项)</w:t>
      </w:r>
      <w:r>
        <w:rPr>
          <w:b w:val="on"/>
          <w:rFonts w:ascii="仿宋" w:eastAsia="仿宋" w:hAnsi="仿宋" w:cs="仿宋"/>
          <w:u w:color="auto"/>
        </w:rPr>
        <w:t>：</w:t>
      </w:r>
      <w:r>
        <w:rPr>
          <w:rFonts w:hint="eastAsia" w:ascii="仿宋" w:hAnsi="仿宋" w:eastAsia="仿宋" w:cs="仿宋"/>
        </w:rPr>
        <w:t>反映机关事业单位实施养老保险制度由单位实际缴纳的职业年金支出。(含职业年金补记支出。）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二十二、社会保障和就业支出(类)其他社会保障和就业支出(款)其他社会保障和就业支出(项)</w:t>
      </w:r>
      <w:r>
        <w:rPr>
          <w:b w:val="on"/>
          <w:rFonts w:ascii="仿宋" w:eastAsia="仿宋" w:hAnsi="仿宋" w:cs="仿宋"/>
          <w:u w:color="auto"/>
        </w:rPr>
        <w:t>：</w:t>
      </w:r>
      <w:r>
        <w:rPr>
          <w:rFonts w:hint="eastAsia" w:ascii="仿宋" w:hAnsi="仿宋" w:eastAsia="仿宋" w:cs="仿宋"/>
        </w:rPr>
        <w:t>反映除上述项目以外其他用于社会保障和就业方面的支出。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二十三、住房保障支出(类)住房改革支出(款)住房公积金(项)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二十四、住房保障支出(类)住房改革支出(款)提租补贴(项)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二十五、住房保障支出(类)住房改革支出(款)购房补贴(项)</w:t>
      </w:r>
      <w:r>
        <w:rPr>
          <w:b w:val="on"/>
          <w:rFonts w:ascii="仿宋" w:eastAsia="仿宋" w:hAnsi="仿宋" w:cs="仿宋"/>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tENd9csBAACcAwAADgAAAGRycy9lMm9Eb2MueG1srVPNjtMwEL4j8Q6W 79RpJVAVNV3tqlqEhABp4QFcx24s+U8et0lfAN6AExfuPFefg7GTdGG57IFLMp6ZfPN9nye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TaDEcYsXfvn+7fLj1+XnV7Ks Vq+zQ32AGhsfAram4c4PuXvKAyaz8EFFm98oiWAd/T1f/ZVDIiJ/tF6t1xWWBNbmA+Kwx89DhPRW ekty0NCIF1h85af3kMbWuSVPc/5eG4N5Xhv3VwIxc4Zl7iPHHKVhP0zE9749o54e776hDledEvPO obV5TeYgzsF+Do4h6kOH1JaFF4TbY0IShVueMMJOg/HSirppwfJW/HkuXY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RDXfXLAQAAnAMAAA4AAAAAAAAAAQAgAAAAHgEAAGRycy9lMm9E b2MueG1sUEsFBgAAAAAGAAYAWQEAAFsFAAAAAA== ">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B8YBXMwBAACcAwAADgAAAGRycy9lMm9Eb2MueG1srVNLbtswEN0XyB0I 7mNKRlEYguUggZEiQNAWSHsAmqIsAvyBQ1vyBdobdNVN9z2Xz9EhJTltusmiG2o4M3zz3sxofTMY TY4ygHK2puWioERa4Rpl9zX98vn+ekUJRG4brp2VNT1JoDebqzfr3ldy6TqnGxkIglioel/TLkZf MQaik4bDwnlpMdi6YHjEa9izJvAe0Y1my6J4x3oXGh+ckADo3Y5BOiGG1wC6tlVCbp04GGnjiBqk 5hElQac80E1m27ZSxI9tCzISXVNUGvOJRdDepZNt1rzaB+47JSYK/DUUXmgyXFkseoHa8sjJIah/ oIwSwYFr40I4w0YhuSOooixe9Oap415mLdhq8Jemw/+DFR+OnwJRTU2XlFhucODn79/OP36df34l ZfG2TB3qPVSY+OQxNQ53bsC9mf2AziR8aINJX5REMI79PV36K4dIRHq0Wq5WBYYExuYL4rPn5z5A fC+dIcmoacAB5r7y4yPEMXVOSdWsu1da5yFq+5cDMZOHJe4jx2TFYTdMgnauOaGeHmdfU4urTol+ sNjatCazEWZjNxsHH9S+Q2pl5gX+9hCRROaWKoywU2EcWlY3LVjaij/vOev5p9r8Bl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HxgFczAEAAJwDAAAOAAAAAAAAAAEAIAAAAB4BAABkcnMvZTJv RG9jLnhtbFBLBQYAAAAABgAGAFkBAABcBQAAAAA= ">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vIt3tcsBAACcAwAADgAAAGRycy9lMm9Eb2MueG1srVPNjtMwEL4j8Q6W 79RpV0IlaroCVYuQECAtPIDr2I0l/8njNukLwBtw4sKd5+pzMHaSLiyXPXBxxjPjb75vZrK5Hawh JxlBe9fQ5aKiRDrhW+0ODf3y+e7FmhJI3LXceCcbepZAb7fPn236UMuV77xpZSQI4qDuQ0O7lELN GIhOWg4LH6TDoPLR8oTXeGBt5D2iW8NWVfWS9T62IXohAdC7G4N0QoxPAfRKaSF3XhytdGlEjdLw hJKg0wHotrBVSor0USmQiZiGotJUTiyC9j6fbLvh9SHy0GkxUeBPofBIk+XaYdEr1I4nTo5R/wNl tYgevEoL4S0bhZSOoIpl9ag39x0PsmjBVkO4Nh3+H6z4cPoUiW4bekOJ4xYHfvn+7fLj1+XnV7Ks bl7lDvUBaky8D5iahjd+wL2Z/YDOLHxQ0eYvSiIYx/6er/2VQyIiP1qv1usKQwJj8wXx2cPzECG9 ld6SbDQ04gBLX/npPaQxdU7J1Zy/08aUIRr3lwMxs4dl7iPHbKVhP0yC9r49o54eZ99Qh6tOiXnn sLV5TWYjzsZ+No4h6kOH1JaFF4TXx4QkCrdcYYSdCuPQirppwfJW/HkvWQ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yLd7XLAQAAnAMAAA4AAAAAAAAAAQAgAAAAHgEAAGRycy9lMm9E b2MueG1sUEsFBgAAAAAGAAYAWQEAAFsFAAAAAA== ">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Pj0BHcsBAACcAwAADgAAAGRycy9lMm9Eb2MueG1srVNLbtswEN0X6B0I 7mvKRlAYguUghZEiQNAWSHsAmqIsAvyBQ1vyBdobdNVN9z2Xz9EhJdn5bLLIhhrODN/MezNaXfdG k4MMoJyt6HxWUCKtcLWyu4r++H77YUkJRG5rrp2VFT1KoNfr9+9WnS/lwrVO1zIQBLFQdr6ibYy+ ZAxEKw2HmfPSYrBxwfCI17BjdeAdohvNFkXxkXUu1D44IQHQuxmCdEQMrwF0TaOE3DixN9LGATVI zSNSglZ5oOvcbdNIEb82DchIdEWRacwnFkF7m062XvFyF7hvlRhb4K9p4Rknw5XFomeoDY+c7IN6 AWWUCA5cE2fCGTYQyYogi3nxTJuHlnuZuaDU4M+iw9vBii+Hb4GouqJXlFhucOCn379Of/6d/v4k 8+IqK9R5KDHxwWNq7D+5HvcmKZf8gM5EvG+CSV+kRDCO+h7P+so+EpEeLRfLZYEhgbHpgjjs8twH iJ+lMyQZFQ04wKwrP9xDHFKnlFTNululdR6itk8ciJk87NJjsmK/7cfGt64+Ip8OZ19Ri6tOib6z KG1ak8kIk7GdjL0Patdia/PcF/ibfcQmcm+pwgA7FsahZXbjgqWteHzPWZefav0f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D49AR3LAQAAnAMAAA4AAAAAAAAAAQAgAAAAHgEAAGRycy9lMm9E b2MueG1sUEsFBgAAAAAGAAYAWQEAAFsFAAAAAA== ">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WeBJGcsBAACcAwAADgAAAGRycy9lMm9Eb2MueG1srVPNjtMwEL4j8Q6W 79RpJaCKmq5A1SIkBEjLPoDr2I0l/8njNukLwBtw4sKd5+pzMHaSLiyXPXBxxjPjb75vZrK5Gawh JxlBe9fQ5aKiRDrhW+0ODb3/cvtiTQkk7lpuvJMNPUugN9vnzzZ9qOXKd960MhIEcVD3oaFdSqFm DEQnLYeFD9JhUPloecJrPLA28h7RrWGrqnrFeh/bEL2QAOjdjUE6IcanAHqltJA7L45WujSiRml4 QknQ6QB0W9gqJUX6pBTIRExDUWkqJxZBe59Ptt3w+hB56LSYKPCnUHikyXLtsOgVascTJ8eo/4Gy WkQPXqWF8JaNQkpHUMWyetSbu44HWbRgqyFcmw7/D1Z8PH2ORLcNfUmJ4xYHfvn+7fLj1+XnV7Ks Vq9zh/oANSbeBUxNw1s/4N7MfkBnFj6oaPMXJRGMY3/P1/7KIRGRH61X63WFIYGx+YL47OF5iJDe SW9JNhoacYClr/z0AdKYOqfkas7famPKEI37y4GY2cMy95FjttKwHyZBe9+eUU+Ps2+ow1WnxLx3 2Nq8JrMRZ2M/G8cQ9aFDasvCC8KbY0IShVuuMMJOhXFoRd20YHkr/ryXrIefavsb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FngSRnLAQAAnAMAAA4AAAAAAAAAAQAgAAAAHgEAAGRycy9lMm9E b2MueG1sUEsFBgAAAAAGAAYAWQEAAFsFAAAAAA== ">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SsxCrssBAACcAwAADgAAAGRycy9lMm9Eb2MueG1srVNLbtswEN0XyB0I 7mPJXgSCYDlIYKQoEKQF0h6ApkiLAH/g0JZ8gfYGXXXTfc/lc3RISU6bbrLohhrODN+8NzNa3w5G k6MIoJxt6HJRUiIsd62y+4Z++fxwXVECkdmWaWdFQ08C6O3m6t2697VYuc7pVgSCIBbq3je0i9HX RQG8E4bBwnlhMShdMCziNeyLNrAe0Y0uVmV5U/QutD44LgDQux2DdEIMbwF0Uiouto4fjLBxRA1C s4iSoFMe6CazlVLw+FFKEJHohqLSmE8sgvYuncVmzep9YL5TfKLA3kLhlSbDlMWiF6gti4wcgvoH yigeHDgZF9yZYhSSO4IqluWr3jx3zIusBVsN/tJ0+H+w/On4KRDVNvSGEssMDvz8/dv5x6/zz69k Wa6q1KHeQ42Jzx5T43DvBtyb2Q/oTMIHGUz6oiSCcezv6dJfMUTC06NqVVUlhjjG5gviFy/PfYD4 XjhDktHQgAPMfWXHR4hj6pySqln3oLTOQ9T2LwdiJk+RuI8ckxWH3TAJ2rn2hHp6nH1DLa46JfqD xdamNZmNMBu72Tj4oPYdUltmXuDvDhFJZG6pwgg7FcahZXXTgqWt+POes15+qs1v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ErMQq7LAQAAnAMAAA4AAAAAAAAAAQAgAAAAHgEAAGRycy9lMm9E b2MueG1sUEsFBgAAAAAGAAYAWQEAAFsFAAAAAA== ">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MHZGMsBAACcAwAADgAAAGRycy9lMm9Eb2MueG1srVPNjtMwEL4j8Q6W 79RpD1CipitQtQgJAdKyD+A6dmPJf/K4TfoC8AacuHDnufocjJ2kC8tlD1yc8cz4m++bmWxuBmvI SUbQ3jV0uagokU74VrtDQ++/3L5YUwKJu5Yb72RDzxLozfb5s00farnynTetjARBHNR9aGiXUqgZ A9FJy2Hhg3QYVD5anvAaD6yNvEd0a9iqql6y3sc2RC8kAHp3Y5BOiPEpgF4pLeTOi6OVLo2oURqe UBJ0OgDdFrZKSZE+KQUyEdNQVJrKiUXQ3ueTbTe8PkQeOi0mCvwpFB5pslw7LHqF2vHEyTHqf6Cs FtGDV2khvGWjkNIRVLGsHvXmruNBFi3YagjXpsP/gxUfT58j0W1DX1HiuMWBX75/u/z4dfn5lSyr 1evcoT5AjYl3AVPT8NYPuDezH9CZhQ8q2vxFSQTj2N/ztb9ySETkR+vVel1hSGBsviA+e3geIqR3 0luSjYZGHGDpKz99gDSmzim5mvO32pgyROP+ciBm9rDMfeSYrTTsh0nQ3rdn1NPj7BvqcNUpMe8d tjavyWzE2djPxjFEfeiQ2rLwgvDmmJBE4ZYrjLBTYRxaUTctWN6KP+8l6+Gn2v4G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IDB2RjLAQAAnAMAAA4AAAAAAAAAAQAgAAAAHgEAAGRycy9lMm9E b2MueG1sUEsFBgAAAAAGAAYAWQEAAFsFAAAAAA== ">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NmyCN8kBAACcAwAADgAAAGRycy9lMm9Eb2MueG1srVNNrtMwEN4jcQfL e+q0SKiKmj6BqoeQECA9OIDr2I0l/8njNukF4Aas2LDnXD0HYydp4bF5CzbOeGb8zXzfTDZ3gzXk JCNo7xq6XFSUSCd8q92hoV8+379YUwKJu5Yb72RDzxLo3fb5s00farnynTetjARBHNR9aGiXUqgZ A9FJy2Hhg3QYVD5anvAaD6yNvEd0a9iqql6x3sc2RC8kAHp3Y5BOiPEpgF4pLeTOi6OVLo2oURqe kBJ0OgDdlm6VkiJ9VApkIqahyDSVE4ugvc8n2254fYg8dFpMLfCntPCIk+XaYdEr1I4nTo5R/wNl tYgevEoL4S0biRRFkMWyeqTNQ8eDLFxQaghX0eH/wYoPp0+R6LahOHbHLQ788v3b5cevy8+vZFm9 LAr1AWpMfAiYmoY3fsC9ycplP6AzEx9UtPmLlAjGUd/zVV85JCLyo/Vqva4wJDA2XxCH3Z6HCOmt 9JZko6ERB1h05af3kMbUOSVXc/5eG1OGaNxfDsTMHnbrMVtp2A9T43vfnpFPj7NvqMNVp8S8cyht XpPZiLOxn41jiPrQYWvL0heE18eETZTecoURdiqMQyvspgXLW/HnvWTdfqrtb1BLAwQKAAAAAACH TuJAAAAAAAAAAAAAAAAABgAAAF9yZWxzL1BLAwQUAAAACACHTuJAihRmPNEAAACUAQAACwAAAF9y ZWxzLy5yZWxzpZDBasMwDIbvg72D0X1xmsMYo04vo9Br6R7A2IpjGltGMtn69vMOg2X0tqN+oe8T //7wmRa1IkukbGDX9aAwO/IxBwPvl+PTCyipNnu7UEYDNxQ4jI8P+zMutrYjmWMR1ShZDMy1llet xc2YrHRUMLfNRJxsbSMHXay72oB66Ptnzb8ZMG6Y6uQN8MkPoC630sx/2Ck6JqGpdo6SpmmK7h5V B7Zlju7INuEbuUazHLAa8CwaB2pZ134EfV+/+6fe00c+47rVfoeM649Xb7ocvwBQSwMEFAAAAAgA h07iQH7m5SD3AAAA4QEAABMAAABbQ29udGVudF9UeXBlc10ueG1slZFBTsMwEEX3SNzB8hYlTrtA CCXpgrRLQKgcYGRPEotkbHlMaG+Pk7YbRJFY2jP/vye73BzGQUwY2Dqq5CovpEDSzljqKvm+32UP UnAEMjA4wkoekeWmvr0p90ePLFKauJJ9jP5RKdY9jsC580hp0rowQkzH0CkP+gM6VOuiuFfaUUSK WZw7ZF022MLnEMX2kK5PJgEHluLptDizKgneD1ZDTKZqIvODkp0JeUouO9xbz3dJQ6pfCfPkOuCc e0lPE6xB8QohPsOYNJQJrIz7ooBT/nfJbDly5trWasybwE2KveF0sbrWjmvXOP3f8u2SunSr5YPq b1BLAQIUABQAAAAIAIdO4kB+5uUg9wAAAOEBAAATAAAAAAAAAAEAIAAAADEEAABbQ29udGVudF9U eXBlc10ueG1sUEsBAhQACgAAAAAAh07iQAAAAAAAAAAAAAAAAAYAAAAAAAAAAAAQAAAAEwMAAF9y ZWxzL1BLAQIUABQAAAAIAIdO4kCKFGY80QAAAJQBAAALAAAAAAAAAAEAIAAAADcDAABfcmVscy8u cmVsc1BLAQIUAAoAAAAAAIdO4kAAAAAAAAAAAAAAAAAEAAAAAAAAAAAAEAAAAAAAAABkcnMvUEsB AhQAFAAAAAgAh07iQM6pebnPAAAABQEAAA8AAAAAAAAAAQAgAAAAIgAAAGRycy9kb3ducmV2Lnht bFBLAQIUABQAAAAIAIdO4kA2bII3yQEAAJwDAAAOAAAAAAAAAAEAIAAAAB4BAABkcnMvZTJvRG9j LnhtbFBLBQYAAAAABgAGAFkBAABZBQAAAAA= ">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EZgcwBAACcAwAADgAAAGRycy9lMm9Eb2MueG1srVPNjtMwEL4j7TtY vm+TdCVUoqYrULUrJARIyz6A69iNJf/J4zbpC8AbcOLCnefqczB2ki4slz1wccYz42++b2ayvh2M JkcRQDnb0GpRUiIsd62y+4Y+frm7XlECkdmWaWdFQ08C6O3m6tW697VYus7pVgSCIBbq3je0i9HX RQG8E4bBwnlhMShdMCziNeyLNrAe0Y0ulmX5uuhdaH1wXACgdzsG6YQYXgLopFRcbB0/GGHjiBqE ZhElQac80E1mK6Xg8ZOUICLRDUWlMZ9YBO1dOovNmtX7wHyn+ESBvYTCM02GKYtFL1BbFhk5BPUP lFE8OHAyLrgzxSgkdwRVVOWz3jx0zIusBVsN/tJ0+H+w/OPxcyCqbegbSiwzOPDz92/nH7/OP7+S qrypUod6DzUmPnhMjcM7N+DezH5AZxI+yGDSFyURjGN/T5f+iiESnh6tlqtViSGOsfmC+MXTcx8g 3gtnSDIaGnCAua/s+AHimDqnpGrW3Smt8xC1/cuBmMlTJO4jx2TFYTdMgnauPaGeHmffUIurTol+ b7G1aU1mI8zGbjYOPqh9h9SqzAv820NEEplbqjDCToVxaFndtGBpK/6856ynn2rzG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8YRmBzAEAAJwDAAAOAAAAAAAAAAEAIAAAAB4BAABkcnMvZTJv RG9jLnhtbFBLBQYAAAAABgAGAFkBAABcBQAAAAA= ">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3RFbMcsBAACdAwAADgAAAGRycy9lMm9Eb2MueG1srVPNjtMwEL4j8Q6W 79RpkVAVNV3tqlqEhABp4QFcx24s+U8et0lfAN6AExfuPFefg7GTdGG57IFLMp6ZfPN93zi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m4CWOG5x45fv3y4/fl1+fiXL 6vUqW9QHqLHzIWBvGu78gO1zHjCZlQ8q2vxGTQTriHa+GiyHRET+aL1aryssCazNB8Rnj5+HCOmt 9JbkoKERN1iM5af3kMbWuSVPc/5eG1O2aNxfCcTMGZa5jxxzlIb9MAna+/aMenpcfkMd3nVKzDuH 3iK/NAdxDvZzcAxRHzqktiy8INweE5Io3PKEEXYajFsr6qYblq/Fn+fS9fhXbX8D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N0RWzHLAQAAnQMAAA4AAAAAAAAAAQAgAAAAHgEAAGRycy9lMm9E b2MueG1sUEsFBgAAAAAGAAYAWQEAAFsFAAAAAA== ">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FxzAh8wBAACdAwAADgAAAGRycy9lMm9Eb2MueG1srVNLbtswEN0XyB0I 7mNKDlAYguWghZEiQNAWSHsAmqIsAvyBQ1vyBdobdNVN9z2Xz9EhJTlpusmiG2o4M3zz3sxofTsY TY4ygHK2puWioERa4Rpl9zX9+uXuekUJRG4brp2VNT1JoLebqzfr3ldy6TqnGxkIglioel/TLkZf MQaik4bDwnlpMdi6YHjEa9izJvAe0Y1my6J4y3oXGh+ckADo3Y5BOiGG1wC6tlVCbp04GGnjiBqk 5hElQac80E1m27ZSxE9tCzISXVNUGvOJRdDepZNt1rzaB+47JSYK/DUUXmgyXFkseoHa8sjJIah/ oIwSwYFr40I4w0YhuSOooixe9Oax415mLdhq8Jemw/+DFR+PnwNRDW5CSYnlBid+/vH9/PP3+dc3 UhY3N6lFvYcKMx895sbhvRswffYDOpPyoQ0mfVETwTg2+HRpsBwiEenRarlaFRgSGJsviM+envsA 8YN0hiSjpgEnmBvLjw8Qx9Q5JVWz7k5pnaeo7V8OxEwelriPHJMVh90wCdq55oR6ehx+TS3uOiX6 3mJv057MRpiN3WwcfFD7DqmV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XHMCHzAEAAJ0DAAAOAAAAAAAAAAEAIAAAAB4BAABkcnMvZTJv RG9jLnhtbFBLBQYAAAAABgAGAFkBAABcBQAAAAA= ">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DBhR6ssBAACdAwAADgAAAGRycy9lMm9Eb2MueG1srVPNjtMwEL4j8Q6W 79RpQaiKmq5A1SIkBEjLPoDr2I0l/8njNukLwBtw4sKd5+pzMHaSLiyXPXBxxjPjb75vZrK5Gawh JxlBe9fQ5aKiRDrhW+0ODb3/cvtiTQkk7lpuvJMNPUugN9vnzzZ9qOXKd960MhIEcVD3oaFdSqFm DEQnLYeFD9JhUPloecJrPLA28h7RrWGrqnrNeh/bEL2QAOjdjUE6IcanAHqltJA7L45WujSiRml4 QknQ6QB0W9gqJUX6pBTIRExDUWkqJxZBe59Ptt3w+hB56LSYKPCnUHikyXLtsOgVascTJ8eo/4Gy WkQPXqWF8JaNQkpHUMWyetSbu44HWbRgqyFcmw7/D1Z8PH2ORLe4CStKHLc48cv3b5cfvy4/v5Jl 9fJVblEfoMbMu4C5aXjrB0yf/YDOrHxQ0eYvaiIYxwafrw2WQyIiP1qv1usKQwJj8wXx2cPzECG9 k96SbDQ04gRLY/npA6QxdU7J1Zy/1caUKRr3lwMxs4dl7iPHbKVhP0yC9r49o54eh99Qh7tOiXnv sLd5T2YjzsZ+No4h6kOH1JaFF4Q3x4QkCrdcYYSdCuPUirppw/Ja/HkvWQ9/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AwYUerLAQAAnQMAAA4AAAAAAAAAAQAgAAAAHgEAAGRycy9lMm9E b2MueG1sUEsFBgAAAAAGAAYAWQEAAFsFAAAAAA== ">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y2xO8MwBAACdAwAADgAAAGRycy9lMm9Eb2MueG1srVNLbtswEN0XyB0I 7mPKDlAIguWghZEiQNAWSHsAmqIsAvyBQ1vyBdobdNVN9z2Xz9EhJTlpusmiG2o4M3zz3sxofTsY TY4ygHK2pstFQYm0wjXK7mv69cvddUkJRG4brp2VNT1JoLebqzfr3ldy5TqnGxkIglioel/TLkZf MQaik4bDwnlpMdi6YHjEa9izJvAe0Y1mq6J4y3oXGh+ckADo3Y5BOiGG1wC6tlVCbp04GGnjiBqk 5hElQac80E1m27ZSxE9tCzISXVNUGvOJRdDepZNt1rzaB+47JSYK/DUUXmgyXFkseoHa8sjJIah/ oIwSwYFr40I4w0YhuSOoYlm86M1jx73MWrDV4C9Nh/8HKz4ePweiGtyEG0osNzjx84/v55+/z7++ kWVxU6YW9R4qzHz0mBuH927A9NkP6EzKhzaY9EVNBOPY4NOlwXKIRKRH5aosCwwJjM0XxGdPz32A +EE6Q5JR04ATzI3lxweIY+qckqpZd6e0zlPU9i8HYiYPS9xHjsmKw26YBO1cc0I9PQ6/phZ3nRJ9 b7G3aU9mI8zGbjYOPqh9h9SW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LbE7wzAEAAJ0DAAAOAAAAAAAAAAEAIAAAAB4BAABkcnMvZTJv RG9jLnhtbFBLBQYAAAAABgAGAFkBAABcBQAAAAA= ">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江阴市旅游事业发展服务中心</w:t>
    </w:r>
    <w:r>
      <w:rPr>
        <w:rFonts w:hint="eastAsia"/>
        <w:lang w:val="en-US" w:eastAsia="zh-CN"/>
      </w:rPr>
      <w:t>2024</w:t>
    </w:r>
    <w:r>
      <w:rPr>
        <w:rFonts w:hint="eastAsia"/>
        <w:lang w:val="en-US"/>
        <w:u/>
      </w:rPr>
      <w:t>年度</w:t>
    </w:r>
    <w:r>
      <w:rPr>
        <w:u w:color="auto"/>
      </w:rPr>
      <w:t>单位</w:t>
    </w:r>
    <w:r>
      <w:rPr>
        <w:u w:color="auto"/>
      </w:rP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theme/theme1.xml" Type="http://schemas.openxmlformats.org/officeDocument/2006/relationships/theme"/><Relationship Id="rId19" Target="../customXml/item1.xml" Type="http://schemas.openxmlformats.org/officeDocument/2006/relationships/customXml"/><Relationship Id="rId2" Target="settings.xml" Type="http://schemas.openxmlformats.org/officeDocument/2006/relationships/settings"/><Relationship Id="rId20" Target="fontTable.xml" Type="http://schemas.openxmlformats.org/officeDocument/2006/relationships/fontTable"/><Relationship Id="rId21" Target="media/image1.jpeg" Type="http://schemas.openxmlformats.org/officeDocument/2006/relationships/image"/><Relationship Id="rId22"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2025-07-11T02:17:18Z</dcterms:modified>
  <cp:revision>177</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